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67FDD" w14:textId="681314D6" w:rsidR="00EA1F32" w:rsidRDefault="00525D92">
      <w:r>
        <w:t>Številka: 6035-4/2024</w:t>
      </w:r>
      <w:r w:rsidR="005D157E">
        <w:t>/10</w:t>
      </w:r>
    </w:p>
    <w:p w14:paraId="3CE4065F" w14:textId="2E2892F0" w:rsidR="00EA1F32" w:rsidRDefault="00525D92">
      <w:r>
        <w:t xml:space="preserve">Datum: </w:t>
      </w:r>
      <w:r w:rsidR="005D157E">
        <w:t>27. 2. 2025</w:t>
      </w:r>
    </w:p>
    <w:p w14:paraId="12D53020" w14:textId="77777777" w:rsidR="00EA1F32" w:rsidRDefault="00EA1F32"/>
    <w:p w14:paraId="17A3E54A" w14:textId="249027C8" w:rsidR="00EA1F32" w:rsidRDefault="00525D92">
      <w:r>
        <w:t xml:space="preserve">Svet Nacionalne agencije Republike Slovenije za kakovost v visokem šolstvu (v nadaljevanju: svet agencije) je na podlagi 51.t člena v zvezi s četrto alinejo prvega odstavka 51.f člena Zakona o visokem šolstvu (Uradni list RS, št. 32/12-UPB7, 40/12-ZUJF, 57/12-ZPCP-2D, 109/12, 85/14, 75/16, 61/17 – ZUPŠ, 65/17, 175/20 – ZIUOPDVE, 57/21 – </w:t>
      </w:r>
      <w:proofErr w:type="spellStart"/>
      <w:r>
        <w:t>odl</w:t>
      </w:r>
      <w:proofErr w:type="spellEnd"/>
      <w:r>
        <w:t>. US, 54/22 – ZUPŠ-1 in 100/22 – ZSZUN; v nadaljevanju: ZViS) in v zvezi s prvim odstavkom 20. člena Meril za zunanjo evalvacijo višjih strokovnih šol (Uradni list RS, št. 21/18 in 69/18; v nadaljevanju: merila) v postopku zunanje evalvacije Izobraževaln</w:t>
      </w:r>
      <w:r w:rsidR="005D157E">
        <w:t>ega</w:t>
      </w:r>
      <w:r>
        <w:t xml:space="preserve"> centr</w:t>
      </w:r>
      <w:r w:rsidR="005D157E">
        <w:t>a</w:t>
      </w:r>
      <w:r>
        <w:t xml:space="preserve"> </w:t>
      </w:r>
      <w:proofErr w:type="spellStart"/>
      <w:r>
        <w:t>Geoss</w:t>
      </w:r>
      <w:proofErr w:type="spellEnd"/>
      <w:r>
        <w:t xml:space="preserve">, </w:t>
      </w:r>
      <w:proofErr w:type="spellStart"/>
      <w:r>
        <w:t>d.o.o</w:t>
      </w:r>
      <w:proofErr w:type="spellEnd"/>
      <w:r>
        <w:t>., Višj</w:t>
      </w:r>
      <w:r w:rsidR="005D157E">
        <w:t>e</w:t>
      </w:r>
      <w:r>
        <w:t xml:space="preserve"> strokovn</w:t>
      </w:r>
      <w:r w:rsidR="005D157E">
        <w:t>e</w:t>
      </w:r>
      <w:r>
        <w:t xml:space="preserve"> šol</w:t>
      </w:r>
      <w:r w:rsidR="005D157E">
        <w:t>e,</w:t>
      </w:r>
      <w:r>
        <w:t xml:space="preserve"> ki je bil začet na podlagi vloge Izobraževaln</w:t>
      </w:r>
      <w:r w:rsidR="005D157E">
        <w:t>ega</w:t>
      </w:r>
      <w:r>
        <w:t xml:space="preserve"> centr</w:t>
      </w:r>
      <w:r w:rsidR="005D157E">
        <w:t>a</w:t>
      </w:r>
      <w:r>
        <w:t xml:space="preserve"> </w:t>
      </w:r>
      <w:proofErr w:type="spellStart"/>
      <w:r>
        <w:t>Geoss</w:t>
      </w:r>
      <w:proofErr w:type="spellEnd"/>
      <w:r>
        <w:t xml:space="preserve">, </w:t>
      </w:r>
      <w:proofErr w:type="spellStart"/>
      <w:r>
        <w:t>d.o.o</w:t>
      </w:r>
      <w:proofErr w:type="spellEnd"/>
      <w:r>
        <w:t>., Višj</w:t>
      </w:r>
      <w:r w:rsidR="005D157E">
        <w:t>e</w:t>
      </w:r>
      <w:r>
        <w:t xml:space="preserve"> strokovn</w:t>
      </w:r>
      <w:r w:rsidR="005D157E">
        <w:t>e</w:t>
      </w:r>
      <w:r>
        <w:t xml:space="preserve"> šol</w:t>
      </w:r>
      <w:r w:rsidR="005D157E">
        <w:t>e</w:t>
      </w:r>
      <w:r>
        <w:t>, ki jo zastopa direktor</w:t>
      </w:r>
      <w:r w:rsidR="005D157E">
        <w:t xml:space="preserve">ica in ravnateljica </w:t>
      </w:r>
      <w:r w:rsidR="005D157E" w:rsidRPr="005D157E">
        <w:t>Sabina Rovšek</w:t>
      </w:r>
      <w:r>
        <w:t xml:space="preserve">, na </w:t>
      </w:r>
      <w:r w:rsidR="005D157E">
        <w:t>209</w:t>
      </w:r>
      <w:r>
        <w:t xml:space="preserve">. seji </w:t>
      </w:r>
      <w:r w:rsidR="005D157E">
        <w:t>27. 2. 2025</w:t>
      </w:r>
      <w:r>
        <w:t xml:space="preserve"> sprejel naslednje</w:t>
      </w:r>
    </w:p>
    <w:p w14:paraId="059FFB10" w14:textId="77777777" w:rsidR="00EA1F32" w:rsidRDefault="00EA1F32"/>
    <w:p w14:paraId="656F4A9C" w14:textId="77777777" w:rsidR="00EA1F32" w:rsidRDefault="00525D92">
      <w:pPr>
        <w:jc w:val="center"/>
      </w:pPr>
      <w:r>
        <w:rPr>
          <w:b/>
          <w:bCs/>
          <w:sz w:val="22"/>
          <w:szCs w:val="22"/>
        </w:rPr>
        <w:t>MNENJE</w:t>
      </w:r>
    </w:p>
    <w:p w14:paraId="798E2C8B" w14:textId="77777777" w:rsidR="00EA1F32" w:rsidRDefault="00EA1F32"/>
    <w:p w14:paraId="5E4FC396" w14:textId="77777777" w:rsidR="00EA1F32" w:rsidRDefault="00525D92">
      <w:r>
        <w:rPr>
          <w:i/>
          <w:iCs/>
        </w:rPr>
        <w:t xml:space="preserve">Svet Nacionalne agencije Republike Slovenije za kakovost v visokem šolstvu meni, da Izobraževalni center </w:t>
      </w:r>
      <w:proofErr w:type="spellStart"/>
      <w:r>
        <w:rPr>
          <w:i/>
          <w:iCs/>
        </w:rPr>
        <w:t>Geoss</w:t>
      </w:r>
      <w:proofErr w:type="spellEnd"/>
      <w:r>
        <w:rPr>
          <w:i/>
          <w:iCs/>
        </w:rPr>
        <w:t xml:space="preserve">, </w:t>
      </w:r>
      <w:proofErr w:type="spellStart"/>
      <w:r>
        <w:rPr>
          <w:i/>
          <w:iCs/>
        </w:rPr>
        <w:t>d.o.o</w:t>
      </w:r>
      <w:proofErr w:type="spellEnd"/>
      <w:r>
        <w:rPr>
          <w:i/>
          <w:iCs/>
        </w:rPr>
        <w:t>., Višja strokovna šola, izpolnjuje standarde kakovosti, določene z Merili za zunanjo evalvacijo višjih strokovnih šol.</w:t>
      </w:r>
    </w:p>
    <w:p w14:paraId="350F2B55" w14:textId="77777777" w:rsidR="00EA1F32" w:rsidRDefault="00EA1F32"/>
    <w:p w14:paraId="21FE2D8E" w14:textId="77777777" w:rsidR="00EA1F32" w:rsidRDefault="00525D92">
      <w:pPr>
        <w:contextualSpacing/>
        <w:jc w:val="center"/>
      </w:pPr>
      <w:r>
        <w:rPr>
          <w:b/>
          <w:bCs/>
        </w:rPr>
        <w:t>Obrazložitev</w:t>
      </w:r>
    </w:p>
    <w:p w14:paraId="2F26539D" w14:textId="77777777" w:rsidR="00EA1F32" w:rsidRDefault="00EA1F32"/>
    <w:p w14:paraId="6254A1BF" w14:textId="77777777" w:rsidR="005D157E" w:rsidRDefault="00525D92" w:rsidP="005D157E">
      <w:r>
        <w:t xml:space="preserve">Izobraževalni center </w:t>
      </w:r>
      <w:proofErr w:type="spellStart"/>
      <w:r>
        <w:t>Geoss</w:t>
      </w:r>
      <w:proofErr w:type="spellEnd"/>
      <w:r>
        <w:t xml:space="preserve">, </w:t>
      </w:r>
      <w:proofErr w:type="spellStart"/>
      <w:r>
        <w:t>d.o.o</w:t>
      </w:r>
      <w:proofErr w:type="spellEnd"/>
      <w:r>
        <w:t xml:space="preserve">., Višja strokovna šola, Trg na Stavbah 8a, 1270 Litija, (v nadaljevanju: šola) je na svet agencije 31. 5. 2024 vložil vlogo za zunanjo evalvacijo višje strokovne šole zaradi sprejetja mnenja o izpolnjevanju z zakonom predpisanih standardov, določenih z merili. </w:t>
      </w:r>
      <w:r w:rsidR="005D157E" w:rsidRPr="003A325F">
        <w:t xml:space="preserve">Šola je vlogo vložila na predpisanem obrazcu in jo na poziv </w:t>
      </w:r>
      <w:r w:rsidR="005D157E">
        <w:t>agencije</w:t>
      </w:r>
      <w:r w:rsidR="005D157E" w:rsidRPr="003A325F">
        <w:t xml:space="preserve"> v predpisanem roku tudi formalno dopolnila</w:t>
      </w:r>
      <w:r w:rsidR="005D157E">
        <w:t xml:space="preserve">. </w:t>
      </w:r>
      <w:r w:rsidR="005D157E" w:rsidRPr="003A325F">
        <w:t>Vloga je tako vključevala vse priloge, določene v 15. členu meril</w:t>
      </w:r>
      <w:r w:rsidR="005D157E">
        <w:t>.</w:t>
      </w:r>
    </w:p>
    <w:p w14:paraId="1945E218" w14:textId="63CE165F" w:rsidR="00EA1F32" w:rsidRDefault="00EA1F32"/>
    <w:p w14:paraId="716D6A55" w14:textId="4F308BED" w:rsidR="005D157E" w:rsidRPr="00295ACF" w:rsidRDefault="00525D92" w:rsidP="005D157E">
      <w:r>
        <w:t>Svet agencije je v postopku v skladu s 14</w:t>
      </w:r>
      <w:r w:rsidR="00C86B2C">
        <w:t>.</w:t>
      </w:r>
      <w:r>
        <w:t xml:space="preserve"> členom meril imenoval skupino strokovnjakov za pripravo skupnega poročila o zunanji evalvaciji šole. Skupina strokovnjakov v sestavi: </w:t>
      </w:r>
      <w:r w:rsidR="005D157E">
        <w:t xml:space="preserve">mag. </w:t>
      </w:r>
      <w:r>
        <w:t xml:space="preserve">Nataša Makovec, </w:t>
      </w:r>
      <w:proofErr w:type="spellStart"/>
      <w:r>
        <w:t>Gea</w:t>
      </w:r>
      <w:proofErr w:type="spellEnd"/>
      <w:r>
        <w:t xml:space="preserve"> </w:t>
      </w:r>
      <w:proofErr w:type="spellStart"/>
      <w:r>
        <w:t>College</w:t>
      </w:r>
      <w:proofErr w:type="spellEnd"/>
      <w:r w:rsidR="005D157E">
        <w:t>,</w:t>
      </w:r>
      <w:r>
        <w:t xml:space="preserve"> Fakulteta za podjetništvo, predsednica, izr. prof. dr. Matjaž Debevc, </w:t>
      </w:r>
      <w:r w:rsidR="005D157E">
        <w:t xml:space="preserve">v pokoju, </w:t>
      </w:r>
      <w:r>
        <w:t xml:space="preserve">član in Jaka Plaznik, Univerza v Ljubljani, Ekonomska fakulteta, član študent je na podlagi </w:t>
      </w:r>
      <w:proofErr w:type="spellStart"/>
      <w:r>
        <w:t>samoevalvacijskega</w:t>
      </w:r>
      <w:proofErr w:type="spellEnd"/>
      <w:r>
        <w:t xml:space="preserve"> poročila šole, vloge, druge zahtevane dokumentacije in obiska šole 19. 11. 2024 in 22. 11. 2024 pripravila skupno </w:t>
      </w:r>
      <w:proofErr w:type="spellStart"/>
      <w:r>
        <w:t>evalvacijsko</w:t>
      </w:r>
      <w:proofErr w:type="spellEnd"/>
      <w:r>
        <w:t xml:space="preserve"> poročilo, iz katerega je razvidno, da šola deluje v skladu z zakonom in merili.</w:t>
      </w:r>
      <w:r w:rsidR="005D157E">
        <w:t xml:space="preserve"> </w:t>
      </w:r>
      <w:r w:rsidR="005D157E" w:rsidRPr="00295ACF">
        <w:t>Šola</w:t>
      </w:r>
      <w:r w:rsidR="005D157E">
        <w:t xml:space="preserve"> je dne 17. 1. 2025 poslala odgovor na </w:t>
      </w:r>
      <w:r w:rsidR="00D752CC">
        <w:t xml:space="preserve">skupno </w:t>
      </w:r>
      <w:proofErr w:type="spellStart"/>
      <w:r w:rsidR="00D752CC">
        <w:t>evalvacijsko</w:t>
      </w:r>
      <w:proofErr w:type="spellEnd"/>
      <w:r w:rsidR="00D752CC">
        <w:t xml:space="preserve"> </w:t>
      </w:r>
      <w:r w:rsidR="005D157E">
        <w:t>poročilo</w:t>
      </w:r>
      <w:r w:rsidR="00385094">
        <w:t xml:space="preserve">. Skupina </w:t>
      </w:r>
      <w:r w:rsidR="005D157E">
        <w:t xml:space="preserve">strokovnjakov </w:t>
      </w:r>
      <w:r w:rsidR="00D752CC">
        <w:t>je</w:t>
      </w:r>
      <w:r w:rsidR="00385094">
        <w:t xml:space="preserve"> pripombe</w:t>
      </w:r>
      <w:r w:rsidR="00D752CC">
        <w:t xml:space="preserve"> šole</w:t>
      </w:r>
      <w:r w:rsidR="00385094">
        <w:t xml:space="preserve"> proučila in dopolnila</w:t>
      </w:r>
      <w:r w:rsidR="00D752CC">
        <w:t>,</w:t>
      </w:r>
      <w:r w:rsidR="005D157E" w:rsidRPr="00295ACF">
        <w:t xml:space="preserve"> s čimer je </w:t>
      </w:r>
      <w:proofErr w:type="spellStart"/>
      <w:r w:rsidR="005D157E" w:rsidRPr="00295ACF">
        <w:t>evalvacijsko</w:t>
      </w:r>
      <w:proofErr w:type="spellEnd"/>
      <w:r w:rsidR="005D157E" w:rsidRPr="00295ACF">
        <w:t xml:space="preserve"> poročilo postalo končno.</w:t>
      </w:r>
    </w:p>
    <w:p w14:paraId="6CAF336A" w14:textId="77777777" w:rsidR="00EA1F32" w:rsidRDefault="00EA1F32"/>
    <w:p w14:paraId="18546046" w14:textId="77777777" w:rsidR="00EA1F32" w:rsidRDefault="00525D92">
      <w:r>
        <w:t>V 26. členu Zakona o višjem strokovnem izobraževanju (Uradni list RS, št. 86/04, 100/13 in 54/22 – ZUPŠ-1; v nadaljevanju: ZVSI) je določeno, da izpolnjevanje pogojev za opravljanje višješolske dejavnosti vsakih pet let po uradni dolžnosti, na predlog nacionalne agencije ali inšpektorata, pristojnega za šolstvo, pa tudi prej, preverja ministrstvo, pristojno za višje šolstvo. V 51.t členu ZViS je določeno, da agencija opravlja evalvacije višjih strokovnih šol v skladu z merili in postopki, ki jih določi svet agencije, ter da se pri tem smiselno uporabljajo določbe ZViS, ki urejajo zunanjo evalvacijo visokošolskih zavodov. Področja presoje višje strokovne šole določa 5. člen meril, in sicer: delovanje šole, kadri, študenti, materialni pogoji ter notranje zagotavljanje in izboljševanje kakovosti ter izvajanje študijskih programov.</w:t>
      </w:r>
    </w:p>
    <w:p w14:paraId="77FE0D28" w14:textId="77777777" w:rsidR="00EA1F32" w:rsidRDefault="00EA1F32"/>
    <w:p w14:paraId="3A226C7F" w14:textId="26831EB5" w:rsidR="00EA1F32" w:rsidRDefault="00D752CC">
      <w:r w:rsidRPr="00D752CC">
        <w:t>Svet agencije je vlogo šole obravnaval na 20</w:t>
      </w:r>
      <w:r w:rsidR="00F92AA5">
        <w:t>9</w:t>
      </w:r>
      <w:r w:rsidRPr="00D752CC">
        <w:t>. seji 2</w:t>
      </w:r>
      <w:r w:rsidR="00F92AA5">
        <w:t>7</w:t>
      </w:r>
      <w:r w:rsidRPr="00D752CC">
        <w:t xml:space="preserve">. </w:t>
      </w:r>
      <w:r w:rsidR="00F92AA5">
        <w:t>2</w:t>
      </w:r>
      <w:r w:rsidRPr="00D752CC">
        <w:t>. 202</w:t>
      </w:r>
      <w:r w:rsidR="00F92AA5">
        <w:t>5</w:t>
      </w:r>
      <w:r w:rsidRPr="00D752CC">
        <w:t>. Presojal jo je po vseh standardih kakovosti, določenih v 6., 7., 8., 9. in 10. členu Meril, ki opredeljujejo področja presoje: delovanje šole, kadri, študenti, materialne razmere ter notranje zagotavljanje in izboljševanje kakovosti ter izvajanje študijskih programov, ter ugotovil naslednje:</w:t>
      </w:r>
    </w:p>
    <w:p w14:paraId="1A205020" w14:textId="77777777" w:rsidR="00D752CC" w:rsidRDefault="00D752CC"/>
    <w:p w14:paraId="08E31596" w14:textId="1474D825" w:rsidR="0058364E" w:rsidRDefault="001E60D2">
      <w:r>
        <w:t xml:space="preserve">Na področju delovanja šole, opredeljenega s standardi kakovosti od 1 do 7, skupina strokovnjakov ugotavlja, da šola izvaja šest višješolskih </w:t>
      </w:r>
      <w:r w:rsidR="00C86B2C">
        <w:t xml:space="preserve">študijskih </w:t>
      </w:r>
      <w:r>
        <w:t xml:space="preserve">programov: Ekonomist, Informatika, Logistično inženirstvo, Organizator socialne mreže, Poslovni sekretar in Strojništvo. Študijski proces je namenjen izključno izrednim študentom, kar podpira poslanstvo Izobraževalnega centra. Skupina strokovnjakov opozarja na zelo nizko prehodnost študentov iz prvega v drugi letnik. Šoli priporočajo sistematično spremljanje vzrokov za takšno stanje ter uvedbo ukrepov za izboljšanje prehodnosti, kar bi prispevalo tudi k zmanjšanju števila fiktivnih vpisov. </w:t>
      </w:r>
    </w:p>
    <w:p w14:paraId="7E98AD8D" w14:textId="77777777" w:rsidR="0058364E" w:rsidRDefault="0058364E"/>
    <w:p w14:paraId="531F42BE" w14:textId="77777777" w:rsidR="00F92AA5" w:rsidRDefault="001E60D2">
      <w:r>
        <w:t xml:space="preserve">Šola izkazuje visoko raven vpetosti v lokalno okolje in tesno sodeluje z delodajalci, obenem pa zagotavlja ustrezno infrastrukturo za izvajanje izobraževalnih programov. Strategija višje šole je skladna s potrebami lokalnega okolja ter evropskimi usmeritvami, vendar strokovnjaki priporočajo jasnejšo opredelitev lastnega poslanstva, vizije in specifičnih ciljev. Višja šola učinkovito izkorišča </w:t>
      </w:r>
      <w:proofErr w:type="spellStart"/>
      <w:r>
        <w:t>sinergijske</w:t>
      </w:r>
      <w:proofErr w:type="spellEnd"/>
      <w:r>
        <w:t xml:space="preserve"> učinke sodelovanja z Izobraževalnim centrom GEOSS, ki se aktivno vključuje v nacionalne in mednarodne projekte. Prav tako šola izkazuje visoko stopnjo zadovoljstva študentov, predavateljev in delodajalcev glede organizacije in komunikacije.</w:t>
      </w:r>
      <w:r w:rsidR="0058364E">
        <w:t xml:space="preserve"> </w:t>
      </w:r>
    </w:p>
    <w:p w14:paraId="348CBED3" w14:textId="77777777" w:rsidR="00F92AA5" w:rsidRDefault="00F92AA5"/>
    <w:p w14:paraId="50D17254" w14:textId="71506702" w:rsidR="00D752CC" w:rsidRDefault="0058364E">
      <w:r w:rsidRPr="0058364E">
        <w:t>Praktično izobraževanje je organizirano sistematično, kar potrjuje visoka stopnja zadovoljstva tako študentov kot delodajalcev. Šola se zaveda pomembnosti povezave med trgom dela in delodajalci, zato aktivno sodeluje s številnimi podjetji ter študentom nudi podporo pri iskanju ustreznega delovnega okolja.</w:t>
      </w:r>
    </w:p>
    <w:p w14:paraId="5E6414AE" w14:textId="77777777" w:rsidR="00166DE4" w:rsidRDefault="00166DE4"/>
    <w:p w14:paraId="301A7898" w14:textId="5E619330" w:rsidR="00D752CC" w:rsidRDefault="0058364E" w:rsidP="0058364E">
      <w:r>
        <w:t>Na področju kadrov, opredeljenem s standardoma kakovosti 8 in 9, skupina strokovnjakov ugotavlja, da šola razpolaga z ustrezno usposobljenimi kadri in imenovanimi predavatelji, ki večinoma delujejo na pogodbeni osnovi. Šola za vsako leto pripravi ustrezno dokumentiran letni načrt izobraževanja in usposabljanja ter vodi evidenco o izvedenih aktivnostih na tem področju. Strokovnjaki priporočajo krepitev pedagoških kompetenc, zlasti prek hospitacij ravnateljice, ter spodbujanje mednarodne mobilnosti študentov, predavateljev in zaposlenih. Upravno-administrativna podpora za študente in predavatelje je ocenjena kot učinkovita.</w:t>
      </w:r>
    </w:p>
    <w:p w14:paraId="3DC2CCD8" w14:textId="77777777" w:rsidR="0058364E" w:rsidRDefault="0058364E" w:rsidP="0058364E"/>
    <w:p w14:paraId="5AAB7143" w14:textId="0872349A" w:rsidR="00753BB3" w:rsidRPr="00753BB3" w:rsidRDefault="00753BB3" w:rsidP="00753BB3">
      <w:r w:rsidRPr="00753BB3">
        <w:t>Na področju študentov, opredeljenem s standardi kakovosti od 10 do 13, skupina strokovnjakov ugotavlja, da ankete kažejo visoko stopnjo zadovoljstva študentov s storitvami šole. Šola študentom omogoča sodelovanje v številnih dejavnostih, kot so strokovne ekskurzije, seminarji, sejmi, brezplačne delavnice, dodatna izobraževanja ter udeležba v mednarodnih projektih in mobilnostih v tujini.</w:t>
      </w:r>
      <w:r>
        <w:t xml:space="preserve"> </w:t>
      </w:r>
      <w:r w:rsidRPr="00753BB3">
        <w:t>Kljub široki ponudbi pa med študenti ni zaznati izrazitega zanimanja za te aktivnosti. Skupina strokovnjakov zato šoli priporoča okrepitev promocije dodatnih dejavnosti in mednarodnih mobilnosti.</w:t>
      </w:r>
      <w:r>
        <w:t xml:space="preserve"> </w:t>
      </w:r>
      <w:r w:rsidRPr="00753BB3">
        <w:t xml:space="preserve">Šola uspešno prilagaja študijski proces potrebam izrednih študentov ter uporablja različne mehanizme za prepoznavanje in preprečevanje diskriminacije, vključno z zbiranjem povratnih informacij prek anketnih vprašalnikov in individualnih razgovorov. Strokovnjaki </w:t>
      </w:r>
      <w:r w:rsidRPr="00753BB3">
        <w:lastRenderedPageBreak/>
        <w:t xml:space="preserve">šoli priporočajo </w:t>
      </w:r>
      <w:r w:rsidR="00BE07C4">
        <w:t xml:space="preserve">tudi </w:t>
      </w:r>
      <w:r w:rsidRPr="00753BB3">
        <w:t xml:space="preserve">izboljšanje obveščanja študentov o </w:t>
      </w:r>
      <w:proofErr w:type="spellStart"/>
      <w:r w:rsidRPr="00753BB3">
        <w:t>samoevalvacijskih</w:t>
      </w:r>
      <w:proofErr w:type="spellEnd"/>
      <w:r w:rsidRPr="00753BB3">
        <w:t xml:space="preserve"> poročilih in rezultatih anket ter spodbujanje njihove ozaveščenosti o pomenu teh informacij.</w:t>
      </w:r>
    </w:p>
    <w:p w14:paraId="5929A339" w14:textId="77777777" w:rsidR="001768A1" w:rsidRDefault="001768A1" w:rsidP="001768A1"/>
    <w:p w14:paraId="2CAFC03B" w14:textId="77777777" w:rsidR="00385094" w:rsidRDefault="00ED0C6D" w:rsidP="00ED0C6D">
      <w:r>
        <w:t xml:space="preserve">Področje materialnih razmer opredeljujejo standardi od 14 do 17. Šola zagotavlja ustrezne prostorske in materialne pogoje za kakovostno izvajanje izobraževalnih dejavnosti. Prostori so opremljeni z vso potrebno avdiovizualno opremo, vključno z računalniki, projektorji, tablami in ustreznimi programi, kar omogoča nemoteno izvedbo predavanj in vaj. V preddverju zavoda je nameščena sodobna interaktivna tabla, ki omogoča dostop do spletne strani, </w:t>
      </w:r>
      <w:proofErr w:type="spellStart"/>
      <w:r>
        <w:t>samoevalvacijskih</w:t>
      </w:r>
      <w:proofErr w:type="spellEnd"/>
      <w:r>
        <w:t xml:space="preserve"> poročil ter drugih pomembnih virov informacij. </w:t>
      </w:r>
    </w:p>
    <w:p w14:paraId="3D0889A0" w14:textId="77777777" w:rsidR="00385094" w:rsidRDefault="00385094" w:rsidP="00ED0C6D"/>
    <w:p w14:paraId="2989F44E" w14:textId="7957C655" w:rsidR="00ED0C6D" w:rsidRDefault="00ED0C6D" w:rsidP="00ED0C6D">
      <w:r>
        <w:t xml:space="preserve">Spletna stran </w:t>
      </w:r>
      <w:r w:rsidR="00385094">
        <w:t>šole</w:t>
      </w:r>
      <w:r>
        <w:t xml:space="preserve"> zagotavlja dostop do ključnih informacij, študijskih gradiv in vsebin, potrebnih za študijski proces. Poleg spletne strani zavod uporablja tudi spletna okolja </w:t>
      </w:r>
      <w:proofErr w:type="spellStart"/>
      <w:r>
        <w:t>Moodle</w:t>
      </w:r>
      <w:proofErr w:type="spellEnd"/>
      <w:r>
        <w:t xml:space="preserve"> in Microsoft </w:t>
      </w:r>
      <w:proofErr w:type="spellStart"/>
      <w:r>
        <w:t>Teams</w:t>
      </w:r>
      <w:proofErr w:type="spellEnd"/>
      <w:r>
        <w:t>, ki študentom nudita podporo pri izvedbi študijskega procesa. Skupina strokovnjakov opaža, da šola še vedno nima vzpostavljenega programa za preverjanje plagiatorstva, čeprav je bilo to priporočeno že pri prejšnji evalvaciji. Zato šoli ponovno priporočajo uvedbo sistema za preverjanje podobnosti vsebin (</w:t>
      </w:r>
      <w:proofErr w:type="spellStart"/>
      <w:r>
        <w:t>antiplagiatorski</w:t>
      </w:r>
      <w:proofErr w:type="spellEnd"/>
      <w:r>
        <w:t xml:space="preserve"> program).</w:t>
      </w:r>
    </w:p>
    <w:p w14:paraId="0E0C04C5" w14:textId="77777777" w:rsidR="00ED0C6D" w:rsidRDefault="00ED0C6D" w:rsidP="00ED0C6D"/>
    <w:p w14:paraId="48F552EE" w14:textId="3858071E" w:rsidR="00D752CC" w:rsidRDefault="00F92AA5">
      <w:r>
        <w:t>Na področju notranjega zagotavljanja in izboljševanja kakovosti, opredeljenem s standardi kakovosti od 18 do 22, skupina strokovnjakov ugotavlja, da sistem kakovosti na šoli omogoča spremljanje in izboljševanje izobraževalne dejavnosti. Kljub temu pa šoli priporočajo nekaj izboljšav za bolj učinkovito spremljanje kakovosti</w:t>
      </w:r>
      <w:r w:rsidR="00BE07C4">
        <w:t xml:space="preserve">. </w:t>
      </w:r>
      <w:r>
        <w:t>Predlagajo, da šola</w:t>
      </w:r>
      <w:r w:rsidR="00BE07C4" w:rsidRPr="00166DE4">
        <w:t xml:space="preserve"> </w:t>
      </w:r>
      <w:r w:rsidR="00BE07C4">
        <w:t>oblikuje</w:t>
      </w:r>
      <w:r w:rsidR="00BE07C4" w:rsidRPr="00166DE4">
        <w:t xml:space="preserve"> </w:t>
      </w:r>
      <w:r w:rsidR="00BE07C4">
        <w:t xml:space="preserve">dokument </w:t>
      </w:r>
      <w:r w:rsidR="00BE07C4" w:rsidRPr="00166DE4">
        <w:rPr>
          <w:i/>
          <w:iCs/>
        </w:rPr>
        <w:t>Poslovnik kakovosti</w:t>
      </w:r>
      <w:r w:rsidR="00BE07C4" w:rsidRPr="00166DE4">
        <w:t>, ki bi bolj jasno opredelil procese ugotavljanja in zagotavljanja kakovosti višje šole ter spremljanje kroga kakovosti.</w:t>
      </w:r>
      <w:r w:rsidR="00BE07C4">
        <w:t xml:space="preserve"> Predlagajo tudi, da šola u</w:t>
      </w:r>
      <w:r>
        <w:t xml:space="preserve">redi preglednejšo razdelitev </w:t>
      </w:r>
      <w:proofErr w:type="spellStart"/>
      <w:r>
        <w:t>samoevalvacijskih</w:t>
      </w:r>
      <w:proofErr w:type="spellEnd"/>
      <w:r>
        <w:t xml:space="preserve"> poročil po področjih presoje in standardih kakovosti, kar bi olajšalo spremljanje izvajanja aktivnosti in doseganja napredka</w:t>
      </w:r>
      <w:r w:rsidR="00BE07C4">
        <w:t xml:space="preserve"> in v njih natančno določi</w:t>
      </w:r>
      <w:r>
        <w:t xml:space="preserve"> </w:t>
      </w:r>
      <w:r w:rsidR="00BE07C4">
        <w:t xml:space="preserve">merljive kvantitativne in kvalitativne kazalnike ter natančne podatke o številu rešenih anket. </w:t>
      </w:r>
      <w:r>
        <w:t>Strokovnjaki prav tako svetujejo uvedbo posebne ankete za ocenjevanje obremenitve študentov</w:t>
      </w:r>
      <w:r w:rsidR="00BE07C4">
        <w:t xml:space="preserve"> in</w:t>
      </w:r>
      <w:r>
        <w:t xml:space="preserve"> izboljšanje ozaveščenosti študentov o pomenu anket in njihovih povratnih informacij ter spodbujanje večje odzivnosti pri reševanju anket.</w:t>
      </w:r>
      <w:r w:rsidR="00BE07C4">
        <w:t xml:space="preserve"> Akcijski načrt naj se dopolni in razširi ter vključuje aktivnosti, razdeljene po posameznih področjih presoje. </w:t>
      </w:r>
    </w:p>
    <w:p w14:paraId="73B25F27" w14:textId="77777777" w:rsidR="00BE07C4" w:rsidRDefault="00BE07C4"/>
    <w:p w14:paraId="7915BB8C" w14:textId="77777777" w:rsidR="00ED0C6D" w:rsidRDefault="00ED0C6D" w:rsidP="00ED0C6D">
      <w:r w:rsidRPr="00754A95">
        <w:t xml:space="preserve">Vse navedeno je jasno razvidno iz končnega </w:t>
      </w:r>
      <w:proofErr w:type="spellStart"/>
      <w:r w:rsidRPr="00754A95">
        <w:t>evalvacijskega</w:t>
      </w:r>
      <w:proofErr w:type="spellEnd"/>
      <w:r w:rsidRPr="00754A95">
        <w:t xml:space="preserve"> poročila skupine strokovnjakov, kjer je naveden tudi podroben popis ugotovljenega dejanskega stanja ter ugotovljenih priložnosti za izboljšanje</w:t>
      </w:r>
      <w:r>
        <w:t xml:space="preserve"> in</w:t>
      </w:r>
      <w:r w:rsidRPr="00754A95">
        <w:t xml:space="preserve"> prednosti</w:t>
      </w:r>
      <w:r>
        <w:t xml:space="preserve">. </w:t>
      </w:r>
      <w:r w:rsidRPr="00754A95">
        <w:t>Skupina strokovnjakov ugotavlja, da šola v deluje v skladu z ZVSI in Merili. Šol</w:t>
      </w:r>
      <w:r>
        <w:t>a</w:t>
      </w:r>
      <w:r w:rsidRPr="00754A95">
        <w:t xml:space="preserve"> deluje in dosega zahteve vseh 22 standardov kakovosti, ki so zajeti v pet glavnih področij presoj</w:t>
      </w:r>
      <w:r>
        <w:t>.</w:t>
      </w:r>
      <w:r w:rsidRPr="00754A95">
        <w:t xml:space="preserve"> </w:t>
      </w:r>
      <w:r>
        <w:t xml:space="preserve">Večjih pomanjkljivosti oziroma neskladnosti skupina strokovnjakov ni našla na nobenem presojanem področju. </w:t>
      </w:r>
    </w:p>
    <w:p w14:paraId="74443E44" w14:textId="77777777" w:rsidR="00ED0C6D" w:rsidRDefault="00ED0C6D"/>
    <w:p w14:paraId="55A925FE" w14:textId="7CA10979" w:rsidR="00EA1F32" w:rsidRDefault="00D752CC">
      <w:r w:rsidRPr="00D752CC">
        <w:t xml:space="preserve">Svet agencije je poročilo v celoti upošteval pri svojem mnenju, ravno tako se svet agencije strinja z priporočili strokovnjakov. </w:t>
      </w:r>
      <w:r w:rsidR="00525D92">
        <w:t>Na podlagi navedenega svet agencije meni, da šola izpolnjuje standarde kakovosti, določene z merili: ustrezni so njeno delovanje, kadrovska zasedba, materialni pogoji ter notranje zagotavljanje in izboljševanje kakovosti ter izvajanje študijskih programov.</w:t>
      </w:r>
    </w:p>
    <w:p w14:paraId="48DA9180" w14:textId="77777777" w:rsidR="00D752CC" w:rsidRDefault="00D752CC"/>
    <w:p w14:paraId="310DAB9F" w14:textId="77777777" w:rsidR="00525D92" w:rsidRDefault="00525D92"/>
    <w:p w14:paraId="15C0A86B" w14:textId="77777777" w:rsidR="00525D92" w:rsidRDefault="00525D92"/>
    <w:p w14:paraId="6FD9A72D" w14:textId="747DB61F" w:rsidR="00EA1F32" w:rsidRDefault="00525D92">
      <w:r>
        <w:lastRenderedPageBreak/>
        <w:t xml:space="preserve">Na podlagi 22. člena Meril za zunanjo evalvacijo višjih strokovnih šol ima </w:t>
      </w:r>
      <w:r>
        <w:rPr>
          <w:b/>
          <w:bCs/>
        </w:rPr>
        <w:t>šola možnost, da se na mnenje agencije odzove v roku 30 dni od prejema tega mnenja.</w:t>
      </w:r>
    </w:p>
    <w:p w14:paraId="0BEF6249" w14:textId="77777777" w:rsidR="00EA1F32" w:rsidRDefault="00EA1F32"/>
    <w:tbl>
      <w:tblPr>
        <w:tblW w:w="5000" w:type="pct"/>
        <w:jc w:val="both"/>
        <w:tblBorders>
          <w:top w:val="nil"/>
          <w:left w:val="nil"/>
          <w:bottom w:val="nil"/>
          <w:right w:val="nil"/>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EA1F32" w14:paraId="5429E39E" w14:textId="77777777" w:rsidTr="00F92AA5">
        <w:trPr>
          <w:jc w:val="both"/>
        </w:trPr>
        <w:tc>
          <w:tcPr>
            <w:tcW w:w="2500" w:type="pct"/>
            <w:tcBorders>
              <w:top w:val="nil"/>
              <w:left w:val="nil"/>
              <w:bottom w:val="nil"/>
              <w:right w:val="nil"/>
            </w:tcBorders>
          </w:tcPr>
          <w:p w14:paraId="3E47EB39" w14:textId="77777777" w:rsidR="00F92AA5" w:rsidRDefault="00F92AA5">
            <w:pPr>
              <w:jc w:val="left"/>
            </w:pPr>
          </w:p>
          <w:p w14:paraId="2502C34F" w14:textId="77777777" w:rsidR="00F92AA5" w:rsidRDefault="00F92AA5">
            <w:pPr>
              <w:jc w:val="left"/>
            </w:pPr>
          </w:p>
          <w:p w14:paraId="30C388AE" w14:textId="77777777" w:rsidR="00F92AA5" w:rsidRDefault="00F92AA5">
            <w:pPr>
              <w:jc w:val="left"/>
            </w:pPr>
          </w:p>
          <w:p w14:paraId="62004D85" w14:textId="77777777" w:rsidR="00525D92" w:rsidRDefault="00525D92">
            <w:pPr>
              <w:jc w:val="left"/>
            </w:pPr>
          </w:p>
          <w:p w14:paraId="7181B00C" w14:textId="77777777" w:rsidR="00525D92" w:rsidRDefault="00525D92">
            <w:pPr>
              <w:jc w:val="left"/>
            </w:pPr>
          </w:p>
          <w:p w14:paraId="4BD35CFF" w14:textId="77777777" w:rsidR="00525D92" w:rsidRDefault="00525D92">
            <w:pPr>
              <w:jc w:val="left"/>
            </w:pPr>
          </w:p>
          <w:p w14:paraId="47F6D0FC" w14:textId="77777777" w:rsidR="00525D92" w:rsidRDefault="00525D92">
            <w:pPr>
              <w:jc w:val="left"/>
            </w:pPr>
          </w:p>
          <w:p w14:paraId="1D1792E8" w14:textId="77777777" w:rsidR="00525D92" w:rsidRDefault="00525D92">
            <w:pPr>
              <w:jc w:val="left"/>
            </w:pPr>
          </w:p>
          <w:p w14:paraId="799A4496" w14:textId="760B763A" w:rsidR="00EA1F32" w:rsidRDefault="00525D92">
            <w:pPr>
              <w:jc w:val="left"/>
            </w:pPr>
            <w:r>
              <w:t>Špela Zakrajšek</w:t>
            </w:r>
            <w:r>
              <w:br/>
              <w:t>Višja svetovalka področja II</w:t>
            </w:r>
          </w:p>
        </w:tc>
        <w:tc>
          <w:tcPr>
            <w:tcW w:w="2500" w:type="pct"/>
            <w:tcBorders>
              <w:top w:val="nil"/>
              <w:left w:val="nil"/>
              <w:bottom w:val="nil"/>
              <w:right w:val="nil"/>
            </w:tcBorders>
          </w:tcPr>
          <w:p w14:paraId="03F71B7A" w14:textId="77777777" w:rsidR="00F92AA5" w:rsidRDefault="00F92AA5">
            <w:pPr>
              <w:jc w:val="left"/>
            </w:pPr>
          </w:p>
          <w:p w14:paraId="3CA8080E" w14:textId="77777777" w:rsidR="00F92AA5" w:rsidRDefault="00F92AA5">
            <w:pPr>
              <w:jc w:val="left"/>
            </w:pPr>
          </w:p>
          <w:p w14:paraId="4A3E8BDA" w14:textId="77777777" w:rsidR="00F92AA5" w:rsidRDefault="00F92AA5">
            <w:pPr>
              <w:jc w:val="left"/>
            </w:pPr>
          </w:p>
          <w:p w14:paraId="68D341A8" w14:textId="77777777" w:rsidR="00F92AA5" w:rsidRDefault="00F92AA5">
            <w:pPr>
              <w:jc w:val="left"/>
            </w:pPr>
          </w:p>
          <w:p w14:paraId="6224C384" w14:textId="77777777" w:rsidR="00F92AA5" w:rsidRDefault="00F92AA5">
            <w:pPr>
              <w:jc w:val="left"/>
            </w:pPr>
          </w:p>
          <w:p w14:paraId="00F8D04E" w14:textId="77777777" w:rsidR="00F92AA5" w:rsidRDefault="00F92AA5">
            <w:pPr>
              <w:jc w:val="left"/>
            </w:pPr>
          </w:p>
          <w:p w14:paraId="378E19C3" w14:textId="77777777" w:rsidR="00F92AA5" w:rsidRDefault="00F92AA5">
            <w:pPr>
              <w:jc w:val="left"/>
            </w:pPr>
          </w:p>
          <w:p w14:paraId="63C0AB4C" w14:textId="77777777" w:rsidR="00F92AA5" w:rsidRDefault="00F92AA5">
            <w:pPr>
              <w:jc w:val="left"/>
            </w:pPr>
          </w:p>
          <w:p w14:paraId="2E4625EE" w14:textId="717879AB" w:rsidR="00EA1F32" w:rsidRDefault="00525D92">
            <w:pPr>
              <w:jc w:val="left"/>
            </w:pPr>
            <w:r>
              <w:t>dr. Boris Dular</w:t>
            </w:r>
            <w:r>
              <w:br/>
              <w:t>Predsednik sveta</w:t>
            </w:r>
            <w:r>
              <w:br/>
              <w:t>Nacionalne agencije Republike Slovenije za kakovost v visokem šolstvu</w:t>
            </w:r>
          </w:p>
        </w:tc>
      </w:tr>
    </w:tbl>
    <w:p w14:paraId="540204FC" w14:textId="77777777" w:rsidR="00F92AA5" w:rsidRDefault="00F92AA5">
      <w:pPr>
        <w:rPr>
          <w:b/>
          <w:bCs/>
        </w:rPr>
      </w:pPr>
    </w:p>
    <w:p w14:paraId="338E9EF3" w14:textId="77777777" w:rsidR="00525D92" w:rsidRDefault="00525D92">
      <w:pPr>
        <w:rPr>
          <w:b/>
          <w:bCs/>
        </w:rPr>
      </w:pPr>
    </w:p>
    <w:p w14:paraId="749DA7D5" w14:textId="77777777" w:rsidR="00525D92" w:rsidRDefault="00525D92">
      <w:pPr>
        <w:rPr>
          <w:b/>
          <w:bCs/>
        </w:rPr>
      </w:pPr>
    </w:p>
    <w:p w14:paraId="70A03A40" w14:textId="77777777" w:rsidR="00F92AA5" w:rsidRDefault="00F92AA5">
      <w:pPr>
        <w:rPr>
          <w:b/>
          <w:bCs/>
        </w:rPr>
      </w:pPr>
    </w:p>
    <w:p w14:paraId="4BCF93B7" w14:textId="77777777" w:rsidR="00F92AA5" w:rsidRDefault="00F92AA5">
      <w:pPr>
        <w:rPr>
          <w:b/>
          <w:bCs/>
        </w:rPr>
      </w:pPr>
    </w:p>
    <w:p w14:paraId="64E51CDD" w14:textId="77777777" w:rsidR="00F92AA5" w:rsidRDefault="00F92AA5">
      <w:pPr>
        <w:rPr>
          <w:b/>
          <w:bCs/>
        </w:rPr>
      </w:pPr>
    </w:p>
    <w:p w14:paraId="14BB30E5" w14:textId="77777777" w:rsidR="00F92AA5" w:rsidRDefault="00F92AA5">
      <w:pPr>
        <w:rPr>
          <w:b/>
          <w:bCs/>
        </w:rPr>
      </w:pPr>
    </w:p>
    <w:p w14:paraId="420FF534" w14:textId="77777777" w:rsidR="00F92AA5" w:rsidRDefault="00F92AA5">
      <w:pPr>
        <w:rPr>
          <w:b/>
          <w:bCs/>
        </w:rPr>
      </w:pPr>
    </w:p>
    <w:p w14:paraId="72F5CDC7" w14:textId="77777777" w:rsidR="00F92AA5" w:rsidRDefault="00F92AA5">
      <w:pPr>
        <w:rPr>
          <w:b/>
          <w:bCs/>
        </w:rPr>
      </w:pPr>
    </w:p>
    <w:p w14:paraId="41696122" w14:textId="793EA2BB" w:rsidR="00EA1F32" w:rsidRDefault="00525D92">
      <w:r>
        <w:rPr>
          <w:b/>
          <w:bCs/>
        </w:rPr>
        <w:t>Vročiti:</w:t>
      </w:r>
      <w:r>
        <w:br/>
        <w:t xml:space="preserve">- Izobraževalni center </w:t>
      </w:r>
      <w:proofErr w:type="spellStart"/>
      <w:r>
        <w:t>Geoss</w:t>
      </w:r>
      <w:proofErr w:type="spellEnd"/>
      <w:r>
        <w:t xml:space="preserve">, </w:t>
      </w:r>
      <w:proofErr w:type="spellStart"/>
      <w:r>
        <w:t>d.o.o</w:t>
      </w:r>
      <w:proofErr w:type="spellEnd"/>
      <w:r>
        <w:t>., Višja strokovna šola, Trg na Stavbah 8a, 1270 Litija, osebno</w:t>
      </w:r>
      <w:r w:rsidR="00D752CC">
        <w:t>;</w:t>
      </w:r>
      <w:r>
        <w:br/>
        <w:t>- Ministrstvo za vzgojo in izobraževanje, Masarykova 16, 1000 Ljubljana, priporočeno s povratnico</w:t>
      </w:r>
      <w:r w:rsidR="00D752CC">
        <w:t>.</w:t>
      </w:r>
    </w:p>
    <w:sectPr w:rsidR="00EA1F32">
      <w:headerReference w:type="default" r:id="rId7"/>
      <w:footerReference w:type="default" r:id="rId8"/>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879DA" w14:textId="77777777" w:rsidR="00B209F2" w:rsidRDefault="00B209F2">
      <w:r>
        <w:separator/>
      </w:r>
    </w:p>
  </w:endnote>
  <w:endnote w:type="continuationSeparator" w:id="0">
    <w:p w14:paraId="6DF75DCA" w14:textId="77777777" w:rsidR="00B209F2" w:rsidRDefault="00B20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6FF4F" w14:textId="77777777" w:rsidR="00EA1F32" w:rsidRDefault="00525D92">
    <w:r>
      <w:rPr>
        <w:noProof/>
      </w:rPr>
      <w:drawing>
        <wp:inline distT="0" distB="0" distL="0" distR="0" wp14:anchorId="0F0B939C" wp14:editId="4A2A850A">
          <wp:extent cx="6019800" cy="561975"/>
          <wp:effectExtent l="0" t="0" r="0" b="0"/>
          <wp:docPr id="1458904906" name="Slika 1458904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6019800" cy="561975"/>
                  </a:xfrm>
                  <a:prstGeom prst="rect">
                    <a:avLst/>
                  </a:prstGeom>
                </pic:spPr>
              </pic:pic>
            </a:graphicData>
          </a:graphic>
        </wp:inline>
      </w:drawing>
    </w:r>
  </w:p>
  <w:p w14:paraId="47BD2ED3" w14:textId="77777777" w:rsidR="00EA1F32" w:rsidRDefault="00525D92">
    <w:pPr>
      <w:jc w:val="right"/>
    </w:pPr>
    <w:r>
      <w:fldChar w:fldCharType="begin"/>
    </w:r>
    <w:r>
      <w:instrText>PAGE</w:instrText>
    </w:r>
    <w:r>
      <w:fldChar w:fldCharType="separate"/>
    </w:r>
    <w:r w:rsidR="005D157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43785" w14:textId="77777777" w:rsidR="00B209F2" w:rsidRDefault="00B209F2">
      <w:r>
        <w:separator/>
      </w:r>
    </w:p>
  </w:footnote>
  <w:footnote w:type="continuationSeparator" w:id="0">
    <w:p w14:paraId="4C19D6DA" w14:textId="77777777" w:rsidR="00B209F2" w:rsidRDefault="00B209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280DC" w14:textId="77777777" w:rsidR="00EA1F32" w:rsidRDefault="00525D92">
    <w:r>
      <w:rPr>
        <w:noProof/>
      </w:rPr>
      <w:drawing>
        <wp:inline distT="0" distB="0" distL="0" distR="0" wp14:anchorId="28D029F1" wp14:editId="54E5CD8E">
          <wp:extent cx="2286000" cy="13335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286000" cy="1333500"/>
                  </a:xfrm>
                  <a:prstGeom prst="rect">
                    <a:avLst/>
                  </a:prstGeom>
                </pic:spPr>
              </pic:pic>
            </a:graphicData>
          </a:graphic>
        </wp:inline>
      </w:drawing>
    </w:r>
  </w:p>
  <w:p w14:paraId="44964CBE" w14:textId="77777777" w:rsidR="00EA1F32" w:rsidRDefault="00EA1F3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994780"/>
    <w:multiLevelType w:val="hybridMultilevel"/>
    <w:tmpl w:val="58B47E8C"/>
    <w:lvl w:ilvl="0" w:tplc="29FAD128">
      <w:start w:val="1"/>
      <w:numFmt w:val="bullet"/>
      <w:lvlText w:val="●"/>
      <w:lvlJc w:val="left"/>
      <w:pPr>
        <w:ind w:left="720" w:hanging="360"/>
      </w:pPr>
    </w:lvl>
    <w:lvl w:ilvl="1" w:tplc="A35805B2">
      <w:start w:val="1"/>
      <w:numFmt w:val="bullet"/>
      <w:lvlText w:val="○"/>
      <w:lvlJc w:val="left"/>
      <w:pPr>
        <w:ind w:left="1440" w:hanging="360"/>
      </w:pPr>
    </w:lvl>
    <w:lvl w:ilvl="2" w:tplc="DEA4F578">
      <w:start w:val="1"/>
      <w:numFmt w:val="bullet"/>
      <w:lvlText w:val="■"/>
      <w:lvlJc w:val="left"/>
      <w:pPr>
        <w:ind w:left="2160" w:hanging="360"/>
      </w:pPr>
    </w:lvl>
    <w:lvl w:ilvl="3" w:tplc="8662BC06">
      <w:start w:val="1"/>
      <w:numFmt w:val="bullet"/>
      <w:lvlText w:val="●"/>
      <w:lvlJc w:val="left"/>
      <w:pPr>
        <w:ind w:left="2880" w:hanging="360"/>
      </w:pPr>
    </w:lvl>
    <w:lvl w:ilvl="4" w:tplc="A90CA460">
      <w:start w:val="1"/>
      <w:numFmt w:val="bullet"/>
      <w:lvlText w:val="○"/>
      <w:lvlJc w:val="left"/>
      <w:pPr>
        <w:ind w:left="3600" w:hanging="360"/>
      </w:pPr>
    </w:lvl>
    <w:lvl w:ilvl="5" w:tplc="6F708DCC">
      <w:start w:val="1"/>
      <w:numFmt w:val="bullet"/>
      <w:lvlText w:val="■"/>
      <w:lvlJc w:val="left"/>
      <w:pPr>
        <w:ind w:left="4320" w:hanging="360"/>
      </w:pPr>
    </w:lvl>
    <w:lvl w:ilvl="6" w:tplc="5546AF84">
      <w:start w:val="1"/>
      <w:numFmt w:val="bullet"/>
      <w:lvlText w:val="●"/>
      <w:lvlJc w:val="left"/>
      <w:pPr>
        <w:ind w:left="5040" w:hanging="360"/>
      </w:pPr>
    </w:lvl>
    <w:lvl w:ilvl="7" w:tplc="D7B83EE2">
      <w:start w:val="1"/>
      <w:numFmt w:val="bullet"/>
      <w:lvlText w:val="●"/>
      <w:lvlJc w:val="left"/>
      <w:pPr>
        <w:ind w:left="5760" w:hanging="360"/>
      </w:pPr>
    </w:lvl>
    <w:lvl w:ilvl="8" w:tplc="B254C22C">
      <w:start w:val="1"/>
      <w:numFmt w:val="bullet"/>
      <w:lvlText w:val="●"/>
      <w:lvlJc w:val="left"/>
      <w:pPr>
        <w:ind w:left="6480" w:hanging="360"/>
      </w:pPr>
    </w:lvl>
  </w:abstractNum>
  <w:abstractNum w:abstractNumId="1" w15:restartNumberingAfterBreak="0">
    <w:nsid w:val="6FD933B0"/>
    <w:multiLevelType w:val="hybridMultilevel"/>
    <w:tmpl w:val="48A43924"/>
    <w:lvl w:ilvl="0" w:tplc="620275A2">
      <w:start w:val="1"/>
      <w:numFmt w:val="decimal"/>
      <w:lvlText w:val="%1."/>
      <w:lvlJc w:val="left"/>
      <w:pPr>
        <w:ind w:left="720" w:hanging="431"/>
      </w:pPr>
    </w:lvl>
    <w:lvl w:ilvl="1" w:tplc="2F589E80">
      <w:start w:val="1"/>
      <w:numFmt w:val="decimal"/>
      <w:lvlText w:val="%2."/>
      <w:lvlJc w:val="left"/>
      <w:pPr>
        <w:ind w:left="1440" w:hanging="979"/>
      </w:pPr>
    </w:lvl>
    <w:lvl w:ilvl="2" w:tplc="3FDA0604">
      <w:start w:val="1"/>
      <w:numFmt w:val="lowerLetter"/>
      <w:lvlText w:val="%3)"/>
      <w:lvlJc w:val="left"/>
      <w:pPr>
        <w:ind w:left="2160" w:hanging="1699"/>
      </w:pPr>
    </w:lvl>
    <w:lvl w:ilvl="3" w:tplc="2F2CF806">
      <w:start w:val="1"/>
      <w:numFmt w:val="upperLetter"/>
      <w:lvlText w:val="%4)"/>
      <w:lvlJc w:val="left"/>
      <w:pPr>
        <w:ind w:left="2880" w:hanging="2420"/>
      </w:pPr>
    </w:lvl>
    <w:lvl w:ilvl="4" w:tplc="980CB238">
      <w:numFmt w:val="decimal"/>
      <w:lvlText w:val=""/>
      <w:lvlJc w:val="left"/>
    </w:lvl>
    <w:lvl w:ilvl="5" w:tplc="AAC00CD0">
      <w:numFmt w:val="decimal"/>
      <w:lvlText w:val=""/>
      <w:lvlJc w:val="left"/>
    </w:lvl>
    <w:lvl w:ilvl="6" w:tplc="C1B83D2A">
      <w:numFmt w:val="decimal"/>
      <w:lvlText w:val=""/>
      <w:lvlJc w:val="left"/>
    </w:lvl>
    <w:lvl w:ilvl="7" w:tplc="E2AEC9A8">
      <w:numFmt w:val="decimal"/>
      <w:lvlText w:val=""/>
      <w:lvlJc w:val="left"/>
    </w:lvl>
    <w:lvl w:ilvl="8" w:tplc="C6E4D0CA">
      <w:numFmt w:val="decimal"/>
      <w:lvlText w:val=""/>
      <w:lvlJc w:val="left"/>
    </w:lvl>
  </w:abstractNum>
  <w:num w:numId="1" w16cid:durableId="30848421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F32"/>
    <w:rsid w:val="000D262B"/>
    <w:rsid w:val="00166DE4"/>
    <w:rsid w:val="001768A1"/>
    <w:rsid w:val="001E60D2"/>
    <w:rsid w:val="00375E09"/>
    <w:rsid w:val="00385094"/>
    <w:rsid w:val="00525D92"/>
    <w:rsid w:val="0058364E"/>
    <w:rsid w:val="005D157E"/>
    <w:rsid w:val="00753BB3"/>
    <w:rsid w:val="00790D5D"/>
    <w:rsid w:val="0088523A"/>
    <w:rsid w:val="00B209F2"/>
    <w:rsid w:val="00BE07C4"/>
    <w:rsid w:val="00C86B2C"/>
    <w:rsid w:val="00CB5DE6"/>
    <w:rsid w:val="00D752CC"/>
    <w:rsid w:val="00E57511"/>
    <w:rsid w:val="00EA1F32"/>
    <w:rsid w:val="00ED0C6D"/>
    <w:rsid w:val="00F92AA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2E546"/>
  <w15:docId w15:val="{1ED971F7-2B64-4F04-81F2-FD9C456C8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jc w:val="both"/>
    </w:pPr>
    <w:rPr>
      <w:rFonts w:ascii="Verdana" w:eastAsia="Verdana" w:hAnsi="Verdana" w:cs="Verdana"/>
    </w:rPr>
  </w:style>
  <w:style w:type="paragraph" w:styleId="Naslov1">
    <w:name w:val="heading 1"/>
    <w:basedOn w:val="Navaden"/>
    <w:next w:val="Navaden"/>
    <w:uiPriority w:val="9"/>
    <w:qFormat/>
    <w:pPr>
      <w:outlineLvl w:val="0"/>
    </w:pPr>
    <w:rPr>
      <w:color w:val="2E74B5"/>
      <w:sz w:val="32"/>
      <w:szCs w:val="32"/>
    </w:rPr>
  </w:style>
  <w:style w:type="paragraph" w:styleId="Naslov2">
    <w:name w:val="heading 2"/>
    <w:basedOn w:val="Navaden"/>
    <w:next w:val="Navaden"/>
    <w:uiPriority w:val="9"/>
    <w:semiHidden/>
    <w:unhideWhenUsed/>
    <w:qFormat/>
    <w:pPr>
      <w:outlineLvl w:val="1"/>
    </w:pPr>
    <w:rPr>
      <w:color w:val="2E74B5"/>
      <w:sz w:val="26"/>
      <w:szCs w:val="26"/>
    </w:rPr>
  </w:style>
  <w:style w:type="paragraph" w:styleId="Naslov3">
    <w:name w:val="heading 3"/>
    <w:basedOn w:val="Navaden"/>
    <w:next w:val="Navaden"/>
    <w:uiPriority w:val="9"/>
    <w:semiHidden/>
    <w:unhideWhenUsed/>
    <w:qFormat/>
    <w:pPr>
      <w:outlineLvl w:val="2"/>
    </w:pPr>
    <w:rPr>
      <w:color w:val="1F4D78"/>
      <w:sz w:val="24"/>
      <w:szCs w:val="24"/>
    </w:rPr>
  </w:style>
  <w:style w:type="paragraph" w:styleId="Naslov4">
    <w:name w:val="heading 4"/>
    <w:basedOn w:val="Navaden"/>
    <w:next w:val="Navaden"/>
    <w:uiPriority w:val="9"/>
    <w:semiHidden/>
    <w:unhideWhenUsed/>
    <w:qFormat/>
    <w:pPr>
      <w:outlineLvl w:val="3"/>
    </w:pPr>
    <w:rPr>
      <w:i/>
      <w:iCs/>
      <w:color w:val="2E74B5"/>
    </w:rPr>
  </w:style>
  <w:style w:type="paragraph" w:styleId="Naslov5">
    <w:name w:val="heading 5"/>
    <w:basedOn w:val="Navaden"/>
    <w:next w:val="Navaden"/>
    <w:uiPriority w:val="9"/>
    <w:semiHidden/>
    <w:unhideWhenUsed/>
    <w:qFormat/>
    <w:pPr>
      <w:outlineLvl w:val="4"/>
    </w:pPr>
    <w:rPr>
      <w:color w:val="2E74B5"/>
    </w:rPr>
  </w:style>
  <w:style w:type="paragraph" w:styleId="Naslov6">
    <w:name w:val="heading 6"/>
    <w:basedOn w:val="Navaden"/>
    <w:next w:val="Navaden"/>
    <w:uiPriority w:val="9"/>
    <w:semiHidden/>
    <w:unhideWhenUsed/>
    <w:qFormat/>
    <w:pPr>
      <w:outlineLvl w:val="5"/>
    </w:pPr>
    <w:rPr>
      <w:color w:val="1F4D7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next w:val="Navaden"/>
    <w:uiPriority w:val="10"/>
    <w:qFormat/>
    <w:rPr>
      <w:sz w:val="56"/>
      <w:szCs w:val="56"/>
    </w:rPr>
  </w:style>
  <w:style w:type="paragraph" w:customStyle="1" w:styleId="Krepko1">
    <w:name w:val="Krepko1"/>
    <w:basedOn w:val="Navaden"/>
    <w:next w:val="Navaden"/>
    <w:qFormat/>
    <w:rPr>
      <w:b/>
      <w:bCs/>
    </w:rPr>
  </w:style>
  <w:style w:type="paragraph" w:styleId="Odstavekseznama">
    <w:name w:val="List Paragraph"/>
    <w:basedOn w:val="Navaden"/>
    <w:qFormat/>
  </w:style>
  <w:style w:type="character" w:styleId="Hiperpovezava">
    <w:name w:val="Hyperlink"/>
    <w:uiPriority w:val="99"/>
    <w:unhideWhenUsed/>
    <w:rPr>
      <w:color w:val="0563C1"/>
      <w:u w:val="single"/>
    </w:rPr>
  </w:style>
  <w:style w:type="character" w:styleId="Sprotnaopomba-sklic">
    <w:name w:val="footnote reference"/>
    <w:uiPriority w:val="99"/>
    <w:semiHidden/>
    <w:unhideWhenUsed/>
    <w:rPr>
      <w:vertAlign w:val="superscript"/>
    </w:rPr>
  </w:style>
  <w:style w:type="paragraph" w:styleId="Sprotnaopomba-besedilo">
    <w:name w:val="footnote text"/>
    <w:basedOn w:val="Navaden"/>
    <w:link w:val="Sprotnaopomba-besediloZnak"/>
    <w:uiPriority w:val="99"/>
    <w:semiHidden/>
    <w:unhideWhenUsed/>
  </w:style>
  <w:style w:type="character" w:customStyle="1" w:styleId="Sprotnaopomba-besediloZnak">
    <w:name w:val="Sprotna opomba - besedilo Znak"/>
    <w:link w:val="Sprotnaopomba-besedilo"/>
    <w:uiPriority w:val="99"/>
    <w:semiHidden/>
    <w:unhideWhenUsed/>
    <w:rPr>
      <w:sz w:val="20"/>
      <w:szCs w:val="20"/>
    </w:rPr>
  </w:style>
  <w:style w:type="paragraph" w:styleId="Revizija">
    <w:name w:val="Revision"/>
    <w:hidden/>
    <w:uiPriority w:val="99"/>
    <w:semiHidden/>
    <w:rsid w:val="00C86B2C"/>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453210">
      <w:bodyDiv w:val="1"/>
      <w:marLeft w:val="0"/>
      <w:marRight w:val="0"/>
      <w:marTop w:val="0"/>
      <w:marBottom w:val="0"/>
      <w:divBdr>
        <w:top w:val="none" w:sz="0" w:space="0" w:color="auto"/>
        <w:left w:val="none" w:sz="0" w:space="0" w:color="auto"/>
        <w:bottom w:val="none" w:sz="0" w:space="0" w:color="auto"/>
        <w:right w:val="none" w:sz="0" w:space="0" w:color="auto"/>
      </w:divBdr>
    </w:div>
    <w:div w:id="19885061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1571</Words>
  <Characters>8956</Characters>
  <Application>Microsoft Office Word</Application>
  <DocSecurity>4</DocSecurity>
  <Lines>74</Lines>
  <Paragraphs>21</Paragraphs>
  <ScaleCrop>false</ScaleCrop>
  <HeadingPairs>
    <vt:vector size="2" baseType="variant">
      <vt:variant>
        <vt:lpstr>Naslov</vt:lpstr>
      </vt:variant>
      <vt:variant>
        <vt:i4>1</vt:i4>
      </vt:variant>
    </vt:vector>
  </HeadingPairs>
  <TitlesOfParts>
    <vt:vector size="1" baseType="lpstr">
      <vt:lpstr>Mnenje o izpolnjevanju standardov VSS</vt:lpstr>
    </vt:vector>
  </TitlesOfParts>
  <Company/>
  <LinksUpToDate>false</LinksUpToDate>
  <CharactersWithSpaces>10506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Mnenje o izpolnjevanju standardov VSS</dc:title>
  <dc:creator>NAKVIS</dc:creator>
  <dc:description>Mnenje o izpolnjevanju standardov VSS</dc:description>
  <cp:lastModifiedBy>Špela Zakrajšek</cp:lastModifiedBy>
  <cp:revision>2</cp:revision>
  <cp:lastPrinted>2025-02-10T09:38:00Z</cp:lastPrinted>
  <dcterms:created xsi:type="dcterms:W3CDTF">2025-02-10T10:34:00Z</dcterms:created>
  <dcterms:modified xsi:type="dcterms:W3CDTF">2025-02-10T10:34:00Z</dcterms:modified>
</cp:coreProperties>
</file>