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4603F" w14:textId="77777777" w:rsidR="00364B80" w:rsidRDefault="00364B80" w:rsidP="00364B80">
      <w:pPr>
        <w:spacing w:after="0"/>
        <w:jc w:val="both"/>
        <w:rPr>
          <w:rFonts w:ascii="Verdana" w:eastAsia="Verdana" w:hAnsi="Verdana" w:cs="Verdana"/>
          <w:sz w:val="20"/>
          <w:szCs w:val="20"/>
          <w:lang w:eastAsia="sl-SI"/>
        </w:rPr>
      </w:pPr>
    </w:p>
    <w:p w14:paraId="171C2410" w14:textId="73379678"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Številka: 6031-1/2024</w:t>
      </w:r>
      <w:r w:rsidRPr="00F84360">
        <w:rPr>
          <w:rFonts w:ascii="Verdana" w:eastAsia="Verdana" w:hAnsi="Verdana" w:cs="Verdana"/>
          <w:sz w:val="20"/>
          <w:szCs w:val="20"/>
          <w:lang w:eastAsia="sl-SI"/>
        </w:rPr>
        <w:t>/18</w:t>
      </w:r>
    </w:p>
    <w:p w14:paraId="2DA02A84"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Datum: 21. 5. 2026</w:t>
      </w:r>
    </w:p>
    <w:p w14:paraId="748BE656" w14:textId="77777777" w:rsidR="00364B80" w:rsidRPr="00364B80" w:rsidRDefault="00364B80" w:rsidP="00364B80">
      <w:pPr>
        <w:spacing w:after="0"/>
        <w:jc w:val="both"/>
        <w:rPr>
          <w:rFonts w:ascii="Verdana" w:eastAsia="Verdana" w:hAnsi="Verdana" w:cs="Verdana"/>
          <w:sz w:val="20"/>
          <w:szCs w:val="20"/>
          <w:lang w:eastAsia="sl-SI"/>
        </w:rPr>
      </w:pPr>
    </w:p>
    <w:p w14:paraId="222AD944" w14:textId="77777777" w:rsidR="00364B80" w:rsidRDefault="00364B80" w:rsidP="00364B80">
      <w:pPr>
        <w:spacing w:after="0"/>
        <w:jc w:val="both"/>
        <w:rPr>
          <w:rFonts w:ascii="Verdana" w:eastAsia="Verdana" w:hAnsi="Verdana" w:cs="Verdana"/>
          <w:sz w:val="20"/>
          <w:szCs w:val="20"/>
          <w:lang w:eastAsia="sl-SI"/>
        </w:rPr>
      </w:pPr>
    </w:p>
    <w:p w14:paraId="381E0877" w14:textId="77777777" w:rsidR="00364B80" w:rsidRDefault="00364B80" w:rsidP="00364B80">
      <w:pPr>
        <w:spacing w:after="0"/>
        <w:jc w:val="both"/>
        <w:rPr>
          <w:rFonts w:ascii="Verdana" w:eastAsia="Verdana" w:hAnsi="Verdana" w:cs="Verdana"/>
          <w:sz w:val="20"/>
          <w:szCs w:val="20"/>
          <w:lang w:eastAsia="sl-SI"/>
        </w:rPr>
      </w:pPr>
    </w:p>
    <w:p w14:paraId="36107006" w14:textId="60DDCD68"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Svet Nacionalne agencije Republike Slovenije za kakovost v visokem šolstvu (v nadaljevanju: svet agencije) je na podlagi šeste alineje enajstega odstavka </w:t>
      </w:r>
      <w:proofErr w:type="spellStart"/>
      <w:r w:rsidRPr="00364B80">
        <w:rPr>
          <w:rFonts w:ascii="Verdana" w:eastAsia="Verdana" w:hAnsi="Verdana" w:cs="Verdana"/>
          <w:sz w:val="20"/>
          <w:szCs w:val="20"/>
          <w:lang w:eastAsia="sl-SI"/>
        </w:rPr>
        <w:t>51.h</w:t>
      </w:r>
      <w:proofErr w:type="spellEnd"/>
      <w:r w:rsidRPr="00364B80">
        <w:rPr>
          <w:rFonts w:ascii="Verdana" w:eastAsia="Verdana" w:hAnsi="Verdana" w:cs="Verdana"/>
          <w:sz w:val="20"/>
          <w:szCs w:val="20"/>
          <w:lang w:eastAsia="sl-SI"/>
        </w:rPr>
        <w:t xml:space="preserve"> člena in osmega in devetega odstavka </w:t>
      </w:r>
      <w:proofErr w:type="spellStart"/>
      <w:r w:rsidRPr="00364B80">
        <w:rPr>
          <w:rFonts w:ascii="Verdana" w:eastAsia="Verdana" w:hAnsi="Verdana" w:cs="Verdana"/>
          <w:sz w:val="20"/>
          <w:szCs w:val="20"/>
          <w:lang w:eastAsia="sl-SI"/>
        </w:rPr>
        <w:t>51.r</w:t>
      </w:r>
      <w:proofErr w:type="spellEnd"/>
      <w:r w:rsidRPr="00364B80">
        <w:rPr>
          <w:rFonts w:ascii="Verdana" w:eastAsia="Verdana" w:hAnsi="Verdana" w:cs="Verdana"/>
          <w:sz w:val="20"/>
          <w:szCs w:val="20"/>
          <w:lang w:eastAsia="sl-SI"/>
        </w:rPr>
        <w:t xml:space="preserve"> člena Zakona o visokem šolstvu (Uradni list RS, št. 32/12-UPB7, 40/12-ZUJF, 57/12-ZPCP-2D, 109/12, 85/14, 75/16, 61/17 ZUPŠ in 65/17, 175/20 – ZIUOPDVE, 57/21 – odl. US, 54/22 – ZUPŠ-1, 100/22 – ZSZUN in 102/23; v nadaljevanju: ZViS) v postopku podaljšanja akreditacije visokošolskega zavoda Univerza v Novi Gorici, začetem na zahtevo Univerze v Novi Gorici, Vipavska cesta 13, 5000 Nova Gorica, ki jo zastopa rektor dr. Boštjan Golob, na 234. seji 21. 5. 2026 sprejel naslednjo</w:t>
      </w:r>
    </w:p>
    <w:p w14:paraId="2FA6568B" w14:textId="77777777" w:rsidR="00364B80" w:rsidRPr="00364B80" w:rsidRDefault="00364B80" w:rsidP="00364B80">
      <w:pPr>
        <w:spacing w:after="0"/>
        <w:jc w:val="both"/>
        <w:rPr>
          <w:rFonts w:ascii="Verdana" w:eastAsia="Verdana" w:hAnsi="Verdana" w:cs="Verdana"/>
          <w:sz w:val="20"/>
          <w:szCs w:val="20"/>
          <w:lang w:eastAsia="sl-SI"/>
        </w:rPr>
      </w:pPr>
    </w:p>
    <w:p w14:paraId="1B52ED76" w14:textId="77777777" w:rsidR="00364B80" w:rsidRPr="00364B80" w:rsidRDefault="00364B80" w:rsidP="00364B80">
      <w:pPr>
        <w:spacing w:after="0"/>
        <w:jc w:val="both"/>
        <w:rPr>
          <w:rFonts w:ascii="Verdana" w:eastAsia="Verdana" w:hAnsi="Verdana" w:cs="Verdana"/>
          <w:sz w:val="20"/>
          <w:szCs w:val="20"/>
          <w:lang w:eastAsia="sl-SI"/>
        </w:rPr>
      </w:pPr>
    </w:p>
    <w:p w14:paraId="576C8EF9" w14:textId="77777777" w:rsidR="00364B80" w:rsidRPr="00364B80" w:rsidRDefault="00364B80" w:rsidP="00364B80">
      <w:pPr>
        <w:spacing w:after="0"/>
        <w:jc w:val="center"/>
        <w:rPr>
          <w:rFonts w:ascii="Verdana" w:eastAsia="Verdana" w:hAnsi="Verdana" w:cs="Verdana"/>
          <w:b/>
          <w:bCs/>
          <w:sz w:val="22"/>
          <w:szCs w:val="22"/>
          <w:lang w:eastAsia="sl-SI"/>
        </w:rPr>
      </w:pPr>
      <w:r w:rsidRPr="00364B80">
        <w:rPr>
          <w:rFonts w:ascii="Verdana" w:eastAsia="Verdana" w:hAnsi="Verdana" w:cs="Verdana"/>
          <w:b/>
          <w:bCs/>
          <w:sz w:val="22"/>
          <w:szCs w:val="22"/>
          <w:lang w:eastAsia="sl-SI"/>
        </w:rPr>
        <w:t>ODLOČBO</w:t>
      </w:r>
    </w:p>
    <w:p w14:paraId="7AB5CEC1" w14:textId="77777777" w:rsidR="00364B80" w:rsidRPr="00364B80" w:rsidRDefault="00364B80" w:rsidP="00364B80">
      <w:pPr>
        <w:spacing w:after="0"/>
        <w:jc w:val="center"/>
        <w:rPr>
          <w:rFonts w:ascii="Verdana" w:eastAsia="Verdana" w:hAnsi="Verdana" w:cs="Verdana"/>
          <w:sz w:val="20"/>
          <w:szCs w:val="20"/>
          <w:lang w:eastAsia="sl-SI"/>
        </w:rPr>
      </w:pPr>
    </w:p>
    <w:p w14:paraId="2BC9BC53" w14:textId="77777777" w:rsidR="00364B80" w:rsidRPr="00364B80" w:rsidRDefault="00364B80" w:rsidP="00364B80">
      <w:pPr>
        <w:spacing w:after="0"/>
        <w:jc w:val="both"/>
        <w:rPr>
          <w:rFonts w:ascii="Verdana" w:eastAsia="Verdana" w:hAnsi="Verdana" w:cs="Verdana"/>
          <w:sz w:val="20"/>
          <w:szCs w:val="20"/>
          <w:lang w:eastAsia="sl-SI"/>
        </w:rPr>
      </w:pPr>
      <w:bookmarkStart w:id="0" w:name="_Hlk229389698"/>
      <w:r w:rsidRPr="00364B80">
        <w:rPr>
          <w:rFonts w:ascii="Verdana" w:eastAsia="Verdana" w:hAnsi="Verdana" w:cs="Verdana"/>
          <w:i/>
          <w:iCs/>
          <w:sz w:val="20"/>
          <w:szCs w:val="20"/>
          <w:lang w:eastAsia="sl-SI"/>
        </w:rPr>
        <w:t>1. Svet Nacionalne agencije Republike Slovenije za kakovost v visokem šolstvu podaljša akreditacijo Univerzi v Novi Gorici za obdobje petih let.</w:t>
      </w:r>
    </w:p>
    <w:p w14:paraId="754A7984" w14:textId="77777777" w:rsidR="00364B80" w:rsidRPr="00364B80" w:rsidRDefault="00364B80" w:rsidP="00364B80">
      <w:pPr>
        <w:spacing w:after="0"/>
        <w:jc w:val="both"/>
        <w:rPr>
          <w:rFonts w:ascii="Verdana" w:eastAsia="Verdana" w:hAnsi="Verdana" w:cs="Verdana"/>
          <w:sz w:val="20"/>
          <w:szCs w:val="20"/>
          <w:lang w:eastAsia="sl-SI"/>
        </w:rPr>
      </w:pPr>
    </w:p>
    <w:p w14:paraId="4524B417" w14:textId="77777777" w:rsidR="00364B80" w:rsidRPr="00364B80" w:rsidRDefault="00364B80" w:rsidP="00364B80">
      <w:pPr>
        <w:spacing w:after="0"/>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 xml:space="preserve">2. Visokošolski zavod mora v roku dveh let od dokončnosti odločbe svetu agencije poročati o napredku in upoštevanju priporočil, ki so bila izražena v odločbi oziroma končnem poročilu skupine strokovnjakov, tako da: </w:t>
      </w:r>
    </w:p>
    <w:p w14:paraId="2C1DA901" w14:textId="77777777" w:rsidR="00364B80" w:rsidRPr="00364B80" w:rsidRDefault="00364B80" w:rsidP="00364B80">
      <w:pPr>
        <w:spacing w:after="0" w:line="280" w:lineRule="exact"/>
        <w:jc w:val="both"/>
        <w:rPr>
          <w:rFonts w:ascii="Verdana" w:eastAsia="Verdana" w:hAnsi="Verdana" w:cs="Verdana"/>
          <w:i/>
          <w:iCs/>
          <w:sz w:val="20"/>
          <w:szCs w:val="20"/>
          <w:lang w:eastAsia="sl-SI"/>
        </w:rPr>
      </w:pPr>
    </w:p>
    <w:p w14:paraId="08E94C41" w14:textId="77777777" w:rsidR="00364B80" w:rsidRPr="00364B80" w:rsidRDefault="00364B80" w:rsidP="00364B80">
      <w:pPr>
        <w:numPr>
          <w:ilvl w:val="0"/>
          <w:numId w:val="45"/>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razvije celovito strategijo univerze in pripravi načrt za obvladovanje tveganj;</w:t>
      </w:r>
    </w:p>
    <w:p w14:paraId="791F18A0" w14:textId="77777777" w:rsidR="00364B80" w:rsidRPr="00364B80" w:rsidRDefault="00364B80" w:rsidP="00364B80">
      <w:pPr>
        <w:numPr>
          <w:ilvl w:val="0"/>
          <w:numId w:val="45"/>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okrepi formalno in sistematično spremljanje izvajanja praktičnega usposabljanja ter zadovoljstva študentov in mentorjev na vseh fakultetah, kjer ga izvajajo;</w:t>
      </w:r>
    </w:p>
    <w:p w14:paraId="3900A91D" w14:textId="77777777" w:rsidR="00364B80" w:rsidRPr="00364B80" w:rsidRDefault="00364B80" w:rsidP="00364B80">
      <w:pPr>
        <w:numPr>
          <w:ilvl w:val="0"/>
          <w:numId w:val="45"/>
        </w:numPr>
        <w:spacing w:after="0" w:line="280" w:lineRule="exact"/>
        <w:jc w:val="both"/>
        <w:rPr>
          <w:rFonts w:ascii="Verdana" w:eastAsia="Verdana" w:hAnsi="Verdana" w:cs="Verdana"/>
          <w:sz w:val="20"/>
          <w:szCs w:val="20"/>
          <w:lang w:eastAsia="sl-SI"/>
        </w:rPr>
      </w:pPr>
      <w:r w:rsidRPr="00364B80">
        <w:rPr>
          <w:rFonts w:ascii="Verdana" w:eastAsia="Verdana" w:hAnsi="Verdana" w:cs="Verdana"/>
          <w:i/>
          <w:iCs/>
          <w:sz w:val="20"/>
          <w:szCs w:val="20"/>
          <w:lang w:eastAsia="sl-SI"/>
        </w:rPr>
        <w:t>okrepi formalno in sistematično vključenost vseh skupin deležnikov v procese zagotavljanja kakovosti tako na institucionalni kot programski ravni in poskrbi za obveščenost deležnikov o izsledkih samoevalvacije;</w:t>
      </w:r>
    </w:p>
    <w:p w14:paraId="69648218" w14:textId="77777777" w:rsidR="00364B80" w:rsidRPr="00364B80" w:rsidRDefault="00364B80" w:rsidP="00364B80">
      <w:pPr>
        <w:numPr>
          <w:ilvl w:val="0"/>
          <w:numId w:val="45"/>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 xml:space="preserve">organizira delo tako, da bo razbremenil administrativno osebje. </w:t>
      </w:r>
    </w:p>
    <w:p w14:paraId="4FDFB446" w14:textId="77777777" w:rsidR="00364B80" w:rsidRPr="00364B80" w:rsidRDefault="00364B80" w:rsidP="00364B80">
      <w:pPr>
        <w:numPr>
          <w:ilvl w:val="0"/>
          <w:numId w:val="45"/>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 xml:space="preserve">pri univerzitetnem študijskem programu Kulturna zgodovina v </w:t>
      </w:r>
      <w:proofErr w:type="spellStart"/>
      <w:r w:rsidRPr="00364B80">
        <w:rPr>
          <w:rFonts w:ascii="Verdana" w:eastAsia="Verdana" w:hAnsi="Verdana" w:cs="Verdana"/>
          <w:i/>
          <w:iCs/>
          <w:sz w:val="20"/>
          <w:szCs w:val="20"/>
          <w:lang w:eastAsia="sl-SI"/>
        </w:rPr>
        <w:t>samoeavalcijskih</w:t>
      </w:r>
      <w:proofErr w:type="spellEnd"/>
      <w:r w:rsidRPr="00364B80">
        <w:rPr>
          <w:rFonts w:ascii="Verdana" w:eastAsia="Verdana" w:hAnsi="Verdana" w:cs="Verdana"/>
          <w:i/>
          <w:iCs/>
          <w:sz w:val="20"/>
          <w:szCs w:val="20"/>
          <w:lang w:eastAsia="sl-SI"/>
        </w:rPr>
        <w:t xml:space="preserve"> poročilih vnese količinsko opredeljene kazalnike za merjenje uspešnosti, vzpostavi mehanizem za formalno evidentiranje sprotnih prilagoditev študijskega programa, izvedenih med študijskim letom in vključi izsledke formalnega spremljanja obremenitve študentov po Evropskem prenosnem kreditnem sistemu (ECTS);</w:t>
      </w:r>
    </w:p>
    <w:p w14:paraId="5413CE4D" w14:textId="77777777" w:rsidR="00364B80" w:rsidRPr="00364B80" w:rsidRDefault="00364B80" w:rsidP="00364B80">
      <w:pPr>
        <w:numPr>
          <w:ilvl w:val="0"/>
          <w:numId w:val="45"/>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pri magistrskem študijskem programu Načrtovanje in vodenje odprtega izobraževanja:</w:t>
      </w:r>
    </w:p>
    <w:p w14:paraId="16DE36E4" w14:textId="77777777" w:rsidR="00364B80" w:rsidRPr="00364B80" w:rsidRDefault="00364B80" w:rsidP="00364B80">
      <w:pPr>
        <w:numPr>
          <w:ilvl w:val="1"/>
          <w:numId w:val="46"/>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okrepi analizo trga dela z vključevanjem mnenj zaposlovalcev;</w:t>
      </w:r>
    </w:p>
    <w:p w14:paraId="65EC9747" w14:textId="77777777" w:rsidR="00364B80" w:rsidRPr="00364B80" w:rsidRDefault="00364B80" w:rsidP="00364B80">
      <w:pPr>
        <w:numPr>
          <w:ilvl w:val="1"/>
          <w:numId w:val="46"/>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v samoevalvacijo vključi merljive kazalnike uspešnosti in pri uresničevanju nalog jasne, dokazljive ter vsebinsko utemeljene povezave med identificiranimi ugotovitvami in predlaganimi priporočili za nadaljnje ukrepanje, ki naj se vključijo tudi v akcijski načrt, v naslednji samoevalvaciji pa se poroča o realizaciji preteklega akcijskega načrta;</w:t>
      </w:r>
    </w:p>
    <w:p w14:paraId="40745F73" w14:textId="77777777" w:rsidR="00364B80" w:rsidRPr="00364B80" w:rsidRDefault="00364B80" w:rsidP="00364B80">
      <w:pPr>
        <w:numPr>
          <w:ilvl w:val="1"/>
          <w:numId w:val="46"/>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okrepi vertikalno in horizontalno povezanost vsebin med predmeti za izboljšanje povezave učnih izidov in kompetenc skozi celoten program;</w:t>
      </w:r>
    </w:p>
    <w:p w14:paraId="4B7EA4C1" w14:textId="77777777" w:rsidR="00364B80" w:rsidRPr="00364B80" w:rsidRDefault="00364B80" w:rsidP="00364B80">
      <w:pPr>
        <w:numPr>
          <w:ilvl w:val="1"/>
          <w:numId w:val="46"/>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poveže fragmentirane raziskovalne vsebine izvajalcev programa v okviru raziskovalne skupine fakultete, v večji meri vključi študente v raziskovalne projekte profesorjev;</w:t>
      </w:r>
    </w:p>
    <w:p w14:paraId="6D963AC2" w14:textId="77777777" w:rsidR="00222F90" w:rsidRDefault="00222F90" w:rsidP="00222F90">
      <w:pPr>
        <w:spacing w:after="0" w:line="280" w:lineRule="exact"/>
        <w:ind w:left="1080"/>
        <w:jc w:val="both"/>
        <w:rPr>
          <w:rFonts w:ascii="Verdana" w:eastAsia="Verdana" w:hAnsi="Verdana" w:cs="Verdana"/>
          <w:i/>
          <w:iCs/>
          <w:sz w:val="20"/>
          <w:szCs w:val="20"/>
          <w:lang w:eastAsia="sl-SI"/>
        </w:rPr>
      </w:pPr>
    </w:p>
    <w:p w14:paraId="5483621E" w14:textId="577CE627" w:rsidR="00364B80" w:rsidRPr="00364B80" w:rsidRDefault="00364B80" w:rsidP="00364B80">
      <w:pPr>
        <w:numPr>
          <w:ilvl w:val="1"/>
          <w:numId w:val="46"/>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poveča vpis novih študentov;</w:t>
      </w:r>
    </w:p>
    <w:p w14:paraId="4F580937" w14:textId="77777777" w:rsidR="00364B80" w:rsidRPr="00364B80" w:rsidRDefault="00364B80" w:rsidP="00364B80">
      <w:pPr>
        <w:numPr>
          <w:ilvl w:val="1"/>
          <w:numId w:val="46"/>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ustrezno načrtuje in spremlja število ur, ki so predvidene za samostojno delo študentov, ter v samoevalvacijo vključi izsledke formalnega spremljanja obremenitve študentov po Evropskem prenosnem kreditnem sistemu (ECTS).</w:t>
      </w:r>
    </w:p>
    <w:p w14:paraId="7F666788" w14:textId="77777777" w:rsidR="00364B80" w:rsidRPr="00364B80" w:rsidRDefault="00364B80" w:rsidP="00364B80">
      <w:pPr>
        <w:spacing w:after="0" w:line="280" w:lineRule="exact"/>
        <w:jc w:val="both"/>
        <w:rPr>
          <w:rFonts w:ascii="Verdana" w:eastAsia="Verdana" w:hAnsi="Verdana" w:cs="Verdana"/>
          <w:sz w:val="20"/>
          <w:szCs w:val="20"/>
          <w:lang w:eastAsia="sl-SI"/>
        </w:rPr>
      </w:pPr>
    </w:p>
    <w:p w14:paraId="169EC378" w14:textId="77777777" w:rsidR="00364B80" w:rsidRPr="00364B80" w:rsidRDefault="00364B80" w:rsidP="00364B80">
      <w:pPr>
        <w:numPr>
          <w:ilvl w:val="0"/>
          <w:numId w:val="44"/>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 xml:space="preserve">Poročilo o napredku se lahko sklicuje na dele samoevalvacijskega ali drugega poročila, iz katerih je razviden napredek oziroma upoštevanje priporočil. </w:t>
      </w:r>
    </w:p>
    <w:p w14:paraId="63BD9E32" w14:textId="77777777" w:rsidR="00364B80" w:rsidRPr="00364B80" w:rsidRDefault="00364B80" w:rsidP="00364B80">
      <w:pPr>
        <w:spacing w:after="0" w:line="280" w:lineRule="exact"/>
        <w:jc w:val="both"/>
        <w:rPr>
          <w:rFonts w:ascii="Verdana" w:eastAsia="Verdana" w:hAnsi="Verdana" w:cs="Verdana"/>
          <w:i/>
          <w:iCs/>
          <w:sz w:val="20"/>
          <w:szCs w:val="20"/>
          <w:lang w:eastAsia="sl-SI"/>
        </w:rPr>
      </w:pPr>
    </w:p>
    <w:p w14:paraId="7C6AC891" w14:textId="77777777" w:rsidR="00364B80" w:rsidRPr="00364B80" w:rsidRDefault="00364B80" w:rsidP="00364B80">
      <w:pPr>
        <w:numPr>
          <w:ilvl w:val="0"/>
          <w:numId w:val="44"/>
        </w:numPr>
        <w:spacing w:after="0" w:line="280" w:lineRule="exact"/>
        <w:jc w:val="both"/>
        <w:rPr>
          <w:rFonts w:ascii="Verdana" w:eastAsia="Verdana" w:hAnsi="Verdana" w:cs="Verdana"/>
          <w:i/>
          <w:iCs/>
          <w:sz w:val="20"/>
          <w:szCs w:val="20"/>
          <w:lang w:eastAsia="sl-SI"/>
        </w:rPr>
      </w:pPr>
      <w:r w:rsidRPr="00364B80">
        <w:rPr>
          <w:rFonts w:ascii="Verdana" w:eastAsia="Verdana" w:hAnsi="Verdana" w:cs="Verdana"/>
          <w:i/>
          <w:iCs/>
          <w:sz w:val="20"/>
          <w:szCs w:val="20"/>
          <w:lang w:eastAsia="sl-SI"/>
        </w:rPr>
        <w:t>Stroški postopka so breme agencije.</w:t>
      </w:r>
    </w:p>
    <w:bookmarkEnd w:id="0"/>
    <w:p w14:paraId="279D4BCD" w14:textId="77777777" w:rsidR="00364B80" w:rsidRPr="00364B80" w:rsidRDefault="00364B80" w:rsidP="00364B80">
      <w:pPr>
        <w:spacing w:after="0"/>
        <w:jc w:val="both"/>
        <w:rPr>
          <w:rFonts w:ascii="Verdana" w:eastAsia="Verdana" w:hAnsi="Verdana" w:cs="Verdana"/>
          <w:sz w:val="20"/>
          <w:szCs w:val="20"/>
          <w:lang w:eastAsia="sl-SI"/>
        </w:rPr>
      </w:pPr>
    </w:p>
    <w:p w14:paraId="5871CB51" w14:textId="77777777" w:rsidR="00364B80" w:rsidRPr="00364B80" w:rsidRDefault="00364B80" w:rsidP="00364B80">
      <w:pPr>
        <w:spacing w:after="0"/>
        <w:jc w:val="both"/>
        <w:rPr>
          <w:rFonts w:ascii="Verdana" w:eastAsia="Verdana" w:hAnsi="Verdana" w:cs="Verdana"/>
          <w:sz w:val="20"/>
          <w:szCs w:val="20"/>
          <w:lang w:eastAsia="sl-SI"/>
        </w:rPr>
      </w:pPr>
    </w:p>
    <w:p w14:paraId="2091C615" w14:textId="77777777" w:rsidR="00364B80" w:rsidRPr="00364B80" w:rsidRDefault="00364B80" w:rsidP="00364B80">
      <w:pPr>
        <w:spacing w:after="0"/>
        <w:contextualSpacing/>
        <w:jc w:val="center"/>
        <w:rPr>
          <w:rFonts w:ascii="Verdana" w:eastAsia="Verdana" w:hAnsi="Verdana" w:cs="Verdana"/>
          <w:sz w:val="20"/>
          <w:szCs w:val="20"/>
          <w:lang w:eastAsia="sl-SI"/>
        </w:rPr>
      </w:pPr>
      <w:r w:rsidRPr="00364B80">
        <w:rPr>
          <w:rFonts w:ascii="Verdana" w:eastAsia="Verdana" w:hAnsi="Verdana" w:cs="Verdana"/>
          <w:b/>
          <w:bCs/>
          <w:sz w:val="20"/>
          <w:szCs w:val="20"/>
          <w:lang w:eastAsia="sl-SI"/>
        </w:rPr>
        <w:t>Obrazložitev</w:t>
      </w:r>
    </w:p>
    <w:p w14:paraId="1368DD70" w14:textId="77777777" w:rsidR="00364B80" w:rsidRPr="00364B80" w:rsidRDefault="00364B80" w:rsidP="00364B80">
      <w:pPr>
        <w:spacing w:after="0"/>
        <w:jc w:val="both"/>
        <w:rPr>
          <w:rFonts w:ascii="Verdana" w:eastAsia="Verdana" w:hAnsi="Verdana" w:cs="Verdana"/>
          <w:sz w:val="20"/>
          <w:szCs w:val="20"/>
          <w:lang w:eastAsia="sl-SI"/>
        </w:rPr>
      </w:pPr>
    </w:p>
    <w:p w14:paraId="3903C1F1"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Univerza v Novi Gorici, Vipavska cesta 13, 5000 Nova Gorica, (v nadaljevanju: vlagatelj) je svetu 24. 9. 2024 poslala vlogo za podaljšanje akreditacije visokošolskega zavoda Univerza v Novi Gorici. Vlagatelj je po pozivu vlogo dopolnil 11. 11. 2024.</w:t>
      </w:r>
    </w:p>
    <w:p w14:paraId="6034137D" w14:textId="77777777" w:rsidR="00364B80" w:rsidRPr="00364B80" w:rsidRDefault="00364B80" w:rsidP="00364B80">
      <w:pPr>
        <w:spacing w:after="0"/>
        <w:jc w:val="both"/>
        <w:rPr>
          <w:rFonts w:ascii="Verdana" w:eastAsia="Verdana" w:hAnsi="Verdana" w:cs="Verdana"/>
          <w:sz w:val="20"/>
          <w:szCs w:val="20"/>
          <w:lang w:eastAsia="sl-SI"/>
        </w:rPr>
      </w:pPr>
    </w:p>
    <w:p w14:paraId="48DC938D"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Svet agencije je za izvedbo zunanje evalvacije imenoval skupino strokovnjakov v sestavi: prof. dr. Polona Tominc, Univerza v Mariboru, Ekonomsko-poslovna fakulteta, predsednica; izr. prof. dr. Blaž Repe, Univerza v Ljubljani, Filozofska fakulteta, član; prof. dr. sc. Katarina Nina Simončič, </w:t>
      </w:r>
      <w:proofErr w:type="spellStart"/>
      <w:r w:rsidRPr="00364B80">
        <w:rPr>
          <w:rFonts w:ascii="Verdana" w:eastAsia="Verdana" w:hAnsi="Verdana" w:cs="Verdana"/>
          <w:sz w:val="20"/>
          <w:szCs w:val="20"/>
          <w:lang w:eastAsia="sl-SI"/>
        </w:rPr>
        <w:t>Sveučilište</w:t>
      </w:r>
      <w:proofErr w:type="spellEnd"/>
      <w:r w:rsidRPr="00364B80">
        <w:rPr>
          <w:rFonts w:ascii="Verdana" w:eastAsia="Verdana" w:hAnsi="Verdana" w:cs="Verdana"/>
          <w:sz w:val="20"/>
          <w:szCs w:val="20"/>
          <w:lang w:eastAsia="sl-SI"/>
        </w:rPr>
        <w:t xml:space="preserve"> u Zagrebu, Tekstilno-tehnološki fakultet, članica; Nora </w:t>
      </w:r>
      <w:proofErr w:type="spellStart"/>
      <w:r w:rsidRPr="00364B80">
        <w:rPr>
          <w:rFonts w:ascii="Verdana" w:eastAsia="Verdana" w:hAnsi="Verdana" w:cs="Verdana"/>
          <w:sz w:val="20"/>
          <w:szCs w:val="20"/>
          <w:lang w:eastAsia="sl-SI"/>
        </w:rPr>
        <w:t>Skaburskienė</w:t>
      </w:r>
      <w:proofErr w:type="spellEnd"/>
      <w:r w:rsidRPr="00364B80">
        <w:rPr>
          <w:rFonts w:ascii="Verdana" w:eastAsia="Verdana" w:hAnsi="Verdana" w:cs="Verdana"/>
          <w:sz w:val="20"/>
          <w:szCs w:val="20"/>
          <w:lang w:eastAsia="sl-SI"/>
        </w:rPr>
        <w:t xml:space="preserve">, </w:t>
      </w:r>
      <w:proofErr w:type="spellStart"/>
      <w:r w:rsidRPr="00364B80">
        <w:rPr>
          <w:rFonts w:ascii="Verdana" w:eastAsia="Verdana" w:hAnsi="Verdana" w:cs="Verdana"/>
          <w:sz w:val="20"/>
          <w:szCs w:val="20"/>
          <w:lang w:eastAsia="sl-SI"/>
        </w:rPr>
        <w:t>Vilniaus</w:t>
      </w:r>
      <w:proofErr w:type="spellEnd"/>
      <w:r w:rsidRPr="00364B80">
        <w:rPr>
          <w:rFonts w:ascii="Verdana" w:eastAsia="Verdana" w:hAnsi="Verdana" w:cs="Verdana"/>
          <w:sz w:val="20"/>
          <w:szCs w:val="20"/>
          <w:lang w:eastAsia="sl-SI"/>
        </w:rPr>
        <w:t xml:space="preserve"> </w:t>
      </w:r>
      <w:proofErr w:type="spellStart"/>
      <w:r w:rsidRPr="00364B80">
        <w:rPr>
          <w:rFonts w:ascii="Verdana" w:eastAsia="Verdana" w:hAnsi="Verdana" w:cs="Verdana"/>
          <w:sz w:val="20"/>
          <w:szCs w:val="20"/>
          <w:lang w:eastAsia="sl-SI"/>
        </w:rPr>
        <w:t>Gedimino</w:t>
      </w:r>
      <w:proofErr w:type="spellEnd"/>
      <w:r w:rsidRPr="00364B80">
        <w:rPr>
          <w:rFonts w:ascii="Verdana" w:eastAsia="Verdana" w:hAnsi="Verdana" w:cs="Verdana"/>
          <w:sz w:val="20"/>
          <w:szCs w:val="20"/>
          <w:lang w:eastAsia="sl-SI"/>
        </w:rPr>
        <w:t xml:space="preserve"> </w:t>
      </w:r>
      <w:proofErr w:type="spellStart"/>
      <w:r w:rsidRPr="00364B80">
        <w:rPr>
          <w:rFonts w:ascii="Verdana" w:eastAsia="Verdana" w:hAnsi="Verdana" w:cs="Verdana"/>
          <w:sz w:val="20"/>
          <w:szCs w:val="20"/>
          <w:lang w:eastAsia="sl-SI"/>
        </w:rPr>
        <w:t>technikos</w:t>
      </w:r>
      <w:proofErr w:type="spellEnd"/>
      <w:r w:rsidRPr="00364B80">
        <w:rPr>
          <w:rFonts w:ascii="Verdana" w:eastAsia="Verdana" w:hAnsi="Verdana" w:cs="Verdana"/>
          <w:sz w:val="20"/>
          <w:szCs w:val="20"/>
          <w:lang w:eastAsia="sl-SI"/>
        </w:rPr>
        <w:t xml:space="preserve"> </w:t>
      </w:r>
      <w:proofErr w:type="spellStart"/>
      <w:r w:rsidRPr="00364B80">
        <w:rPr>
          <w:rFonts w:ascii="Verdana" w:eastAsia="Verdana" w:hAnsi="Verdana" w:cs="Verdana"/>
          <w:sz w:val="20"/>
          <w:szCs w:val="20"/>
          <w:lang w:eastAsia="sl-SI"/>
        </w:rPr>
        <w:t>universitetas</w:t>
      </w:r>
      <w:proofErr w:type="spellEnd"/>
      <w:r w:rsidRPr="00364B80">
        <w:rPr>
          <w:rFonts w:ascii="Verdana" w:eastAsia="Verdana" w:hAnsi="Verdana" w:cs="Verdana"/>
          <w:sz w:val="20"/>
          <w:szCs w:val="20"/>
          <w:lang w:eastAsia="sl-SI"/>
        </w:rPr>
        <w:t>, članica; Matej Drobnič, Univerza v Ljubljani, Fakulteta za strojništvo, član študent; in Ana Intihar Marulc, B2 Visoka šola za poslovne vede, zavod, članica študentka.</w:t>
      </w:r>
    </w:p>
    <w:p w14:paraId="51156CB3" w14:textId="77777777" w:rsidR="00364B80" w:rsidRPr="00364B80" w:rsidRDefault="00364B80" w:rsidP="00364B80">
      <w:pPr>
        <w:spacing w:after="0"/>
        <w:jc w:val="both"/>
        <w:rPr>
          <w:rFonts w:ascii="Verdana" w:eastAsia="Verdana" w:hAnsi="Verdana" w:cs="Verdana"/>
          <w:sz w:val="20"/>
          <w:szCs w:val="20"/>
          <w:lang w:eastAsia="sl-SI"/>
        </w:rPr>
      </w:pPr>
    </w:p>
    <w:p w14:paraId="3DF7FF1F"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Skupina strokovnjakov je v dneh 17. 2. 2025, 18. 2. 2025 in 19. 2. 2025 opravila prvi obisk visokošolskega zavoda in pripravila ugotovitveno poročilo, v katerem je svetu agencije predlagala, da opravi tudi drugi obisk. Svet agencije je zato na 211. seji sklenil, da skupina strokovnjakov opravi drugi obisk in pozval vlagatelja k oddaji vloge za evalvacijo dveh študijskih programov: </w:t>
      </w:r>
      <w:r w:rsidRPr="00364B80">
        <w:rPr>
          <w:rFonts w:ascii="Verdana" w:eastAsia="Verdana" w:hAnsi="Verdana" w:cs="Verdana"/>
          <w:color w:val="000000"/>
          <w:sz w:val="20"/>
          <w:szCs w:val="20"/>
          <w:lang w:eastAsia="sl-SI"/>
        </w:rPr>
        <w:t xml:space="preserve">univerzitetnega študijskega programa »Kulturna zgodovina« Fakultete za humanistiko in magistrskega študijskega programa »Načrtovanje in vodenje odprtega izobraževanja« Poslovno-tehniške fakultete. Skupina strokovnjakov je </w:t>
      </w:r>
      <w:r w:rsidRPr="00364B80">
        <w:rPr>
          <w:rFonts w:ascii="Verdana" w:eastAsia="Verdana" w:hAnsi="Verdana" w:cs="Verdana"/>
          <w:sz w:val="20"/>
          <w:szCs w:val="20"/>
          <w:lang w:eastAsia="sl-SI"/>
        </w:rPr>
        <w:t>3. 11. 2025 in 4. 11. 2025 opravila</w:t>
      </w:r>
      <w:r w:rsidRPr="00364B80">
        <w:rPr>
          <w:rFonts w:ascii="Verdana" w:eastAsia="Verdana" w:hAnsi="Verdana" w:cs="Verdana"/>
          <w:color w:val="000000"/>
          <w:sz w:val="20"/>
          <w:szCs w:val="20"/>
          <w:lang w:eastAsia="sl-SI"/>
        </w:rPr>
        <w:t xml:space="preserve"> </w:t>
      </w:r>
      <w:r w:rsidRPr="00364B80">
        <w:rPr>
          <w:rFonts w:ascii="Verdana" w:eastAsia="Verdana" w:hAnsi="Verdana" w:cs="Verdana"/>
          <w:sz w:val="20"/>
          <w:szCs w:val="20"/>
          <w:lang w:eastAsia="sl-SI"/>
        </w:rPr>
        <w:t xml:space="preserve">drugi obisk in pripravila evalvacijsko poročilo. To je bilo poslano vlagatelju v pripombe. Ta je 8. 1. 2026 podal nanj pripombe, skupina strokovnjakov pa je na podlagi samoevalvacijskega poročila vlagatelja, prejete dokumentacije, opravljenega obiska visokošolskega zavoda ter pripomb vlagatelja pripravila končno evalvacijsko poročilo in ga 25. 1. 2026 oddala agenciji. </w:t>
      </w:r>
    </w:p>
    <w:p w14:paraId="6E0317E8" w14:textId="77777777" w:rsidR="00364B80" w:rsidRPr="00364B80" w:rsidRDefault="00364B80" w:rsidP="00364B80">
      <w:pPr>
        <w:spacing w:after="0"/>
        <w:jc w:val="both"/>
        <w:rPr>
          <w:rFonts w:ascii="Verdana" w:eastAsia="Verdana" w:hAnsi="Verdana" w:cs="Verdana"/>
          <w:sz w:val="20"/>
          <w:szCs w:val="20"/>
          <w:lang w:eastAsia="sl-SI"/>
        </w:rPr>
      </w:pPr>
    </w:p>
    <w:p w14:paraId="07B922B6"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Šesta alineja enajstega odstavka </w:t>
      </w:r>
      <w:proofErr w:type="spellStart"/>
      <w:r w:rsidRPr="00364B80">
        <w:rPr>
          <w:rFonts w:ascii="Verdana" w:eastAsia="Verdana" w:hAnsi="Verdana" w:cs="Verdana"/>
          <w:sz w:val="20"/>
          <w:szCs w:val="20"/>
          <w:lang w:eastAsia="sl-SI"/>
        </w:rPr>
        <w:t>51.h</w:t>
      </w:r>
      <w:proofErr w:type="spellEnd"/>
      <w:r w:rsidRPr="00364B80">
        <w:rPr>
          <w:rFonts w:ascii="Verdana" w:eastAsia="Verdana" w:hAnsi="Verdana" w:cs="Verdana"/>
          <w:sz w:val="20"/>
          <w:szCs w:val="20"/>
          <w:lang w:eastAsia="sl-SI"/>
        </w:rPr>
        <w:t xml:space="preserve"> člena ZViS določa, da svet agencije odloča o akreditacijah visokošolskih zavodov. Četrti odstavek 14. člena ZViS določa, da mora visokošolski zavod pri agenciji najmanj vsakih pet let pridobiti odločbo o podaljšanju akreditacije visokošolskega zavoda. </w:t>
      </w:r>
    </w:p>
    <w:p w14:paraId="6475444E" w14:textId="77777777" w:rsidR="00364B80" w:rsidRPr="00364B80" w:rsidRDefault="00364B80" w:rsidP="00364B80">
      <w:pPr>
        <w:spacing w:after="0"/>
        <w:jc w:val="both"/>
        <w:rPr>
          <w:rFonts w:ascii="Verdana" w:eastAsia="Verdana" w:hAnsi="Verdana" w:cs="Verdana"/>
          <w:sz w:val="20"/>
          <w:szCs w:val="20"/>
          <w:lang w:eastAsia="sl-SI"/>
        </w:rPr>
      </w:pPr>
    </w:p>
    <w:p w14:paraId="01CA5A47"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Poleg določb ZViS se pri podaljšanju akreditacije visokošolskega zavoda uporabljajo Merila za akreditacijo in zunanjo evalvacijo visokošolskih zavodov in študijskih programov (Uradni list RS, št. 42/17, 14/19, 3/20, 78/20, 82/20 – popr., 44/21 in 23/23; v nadaljevanju: Merila za akreditacijo), ki določajo področja presoje visokošolskega zavoda v postopku podaljšanja akreditacije visokošolskega zavoda, in sicer delovanje visokošolskega zavoda, kadri, študenti, materialne razmere, notranje zagotavljanje in izboljševanje kakovosti, spreminjanje, posodabljanje in izvajanje študijskih programov.</w:t>
      </w:r>
    </w:p>
    <w:p w14:paraId="4AF60586" w14:textId="77777777" w:rsidR="00364B80" w:rsidRPr="00364B80" w:rsidRDefault="00364B80" w:rsidP="00364B80">
      <w:pPr>
        <w:spacing w:after="0"/>
        <w:jc w:val="both"/>
        <w:rPr>
          <w:rFonts w:ascii="Verdana" w:eastAsia="Verdana" w:hAnsi="Verdana" w:cs="Verdana"/>
          <w:sz w:val="20"/>
          <w:szCs w:val="20"/>
          <w:lang w:eastAsia="sl-SI"/>
        </w:rPr>
      </w:pPr>
    </w:p>
    <w:p w14:paraId="5B3EB435" w14:textId="77777777" w:rsidR="00364B80" w:rsidRPr="00364B80" w:rsidRDefault="00364B80" w:rsidP="00364B80">
      <w:pPr>
        <w:spacing w:after="0"/>
        <w:jc w:val="both"/>
        <w:rPr>
          <w:rFonts w:ascii="Verdana" w:eastAsia="Verdana" w:hAnsi="Verdana" w:cs="Verdana"/>
          <w:color w:val="000000"/>
          <w:sz w:val="20"/>
          <w:szCs w:val="20"/>
          <w:lang w:eastAsia="sl-SI"/>
        </w:rPr>
      </w:pPr>
      <w:r w:rsidRPr="00364B80">
        <w:rPr>
          <w:rFonts w:ascii="Verdana" w:eastAsia="Verdana" w:hAnsi="Verdana" w:cs="Verdana"/>
          <w:sz w:val="20"/>
          <w:szCs w:val="20"/>
          <w:lang w:eastAsia="sl-SI"/>
        </w:rPr>
        <w:t xml:space="preserve">Svet agencije je vlogo vlagatelja, končno evalvacijsko poročilo skupine strokovnjakov (v nadaljevanju: končno poročilo) ter pripombe vlagatelja h končnemu poročilu obravnaval na 228. seji dne 19. 2. 2026 in ugotovil, </w:t>
      </w:r>
      <w:r w:rsidRPr="00364B80">
        <w:rPr>
          <w:rFonts w:ascii="Verdana" w:eastAsia="Verdana" w:hAnsi="Verdana" w:cs="Verdana"/>
          <w:color w:val="000000"/>
          <w:sz w:val="20"/>
          <w:szCs w:val="20"/>
          <w:lang w:eastAsia="sl-SI"/>
        </w:rPr>
        <w:t xml:space="preserve">da se je skupina strokovnjakov pri posameznih standardih presoje po Merilih za akreditacijo v končnem poročilu opredelila, da so za oba evalvirana študijska programa standardi kakovosti po Merilih za akreditacijo delno izpolnjeni, svet agencije pa je ugotovil, da gre za večje pomanjkljivosti oziroma neskladnosti. Posledično je v skladu z 9. členom </w:t>
      </w:r>
      <w:r w:rsidRPr="00364B80">
        <w:rPr>
          <w:rFonts w:ascii="Verdana" w:eastAsia="Verdana" w:hAnsi="Verdana" w:cs="Verdana"/>
          <w:sz w:val="20"/>
          <w:szCs w:val="20"/>
          <w:lang w:eastAsia="sl-SI"/>
        </w:rPr>
        <w:t>Zakona o splošnem upravnem postopku (Uradni list RS, št. 24/06 – uradno prečiščeno besedilo, 105/06 – ZUS-1, 126/07, 65/08, 8/10, 82/13, 175/20 – ZIUOPDVE, 3/22 – ZDeb in 85/25; v nadaljevanju: ZUP)</w:t>
      </w:r>
      <w:r w:rsidRPr="00364B80">
        <w:rPr>
          <w:rFonts w:ascii="Verdana" w:eastAsia="Verdana" w:hAnsi="Verdana" w:cs="Verdana"/>
          <w:color w:val="000000"/>
          <w:sz w:val="20"/>
          <w:szCs w:val="20"/>
          <w:lang w:eastAsia="sl-SI"/>
        </w:rPr>
        <w:t xml:space="preserve"> svet agencije vlagatelja pozval, da naj se opredeli do specifičnih ugotovitev. Vlagatelj je 24. 3. 2026 odgovoril na poziv sveta agencije z dopisom in prilogami. Svet agencije je celotno gradivo obravnaval na 234. seji, 21. 5. 2026.</w:t>
      </w:r>
    </w:p>
    <w:p w14:paraId="42A3201B" w14:textId="77777777" w:rsidR="00364B80" w:rsidRPr="00364B80" w:rsidRDefault="00364B80" w:rsidP="00364B80">
      <w:pPr>
        <w:spacing w:after="0"/>
        <w:jc w:val="both"/>
        <w:rPr>
          <w:rFonts w:ascii="Verdana" w:eastAsia="Verdana" w:hAnsi="Verdana" w:cs="Verdana"/>
          <w:color w:val="000000"/>
          <w:sz w:val="20"/>
          <w:szCs w:val="20"/>
          <w:lang w:eastAsia="sl-SI"/>
        </w:rPr>
      </w:pPr>
    </w:p>
    <w:p w14:paraId="07138F04"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Iz končnega poročila izhaja, da vlagatelj izpolnjuje 1.–5. standard ter 7. standard kakovosti iz 12. člena Meril za akreditacijo na področju delovanja visokošolskega zavoda, saj uspešno uresničuje poslanstvo v slovenskem in mednarodnem visokošolskem prostoru. Obenem skupina strokovnjakov ugotavlja, da mora vlagatelj razviti vse stebre strategije univerze in pripraviti načrt za obvladovanje tveganj. Notranja organiziranost visokošolskega zavoda zagotavlja sodelovanje visokošolskih učiteljev in sodelavcev, znanstvenih delavcev in nepedagoških delavcev, študentov in drugih deležnikov pri upravljanju in razvijanju dejavnosti visokošolskega zavoda. Vlagatelj izkazuje visoko stopnjo znanstvene odličnosti, raziskovalne usmerjenosti ter prejema tuje in domače nagrade za znanstvene dosežke. Praktično izobraževanje študentov v delovnem okolju, če je del izobraževalne dejavnosti, je dobro organizirano in se tako tudi izvaja. Zagotovljeni so viri za njegovo izvedbo. Skupina strokovnjakov meni, da mora vlagatelj okrepiti formalno in sistematično spremljanje izvajanja praktičnega usposabljanja ter zadovoljstva študentov in mentorjev na vseh fakultetah, kjer ga izvajajo. Visokošolski zavod spremlja potrebe po znanju in zaposlitvene potrebe v okolju. Zagotavlja informacije o zaposlitvenih možnostih na področjih, ki so primerna kompetencam oziroma učnim izidom diplomantov. Visokošolski zavod deležnike in javnost pravočasno obvešča o študijskih programih in svoji dejavnosti.</w:t>
      </w:r>
    </w:p>
    <w:p w14:paraId="146252D0" w14:textId="77777777" w:rsidR="00364B80" w:rsidRPr="00364B80" w:rsidRDefault="00364B80" w:rsidP="00364B80">
      <w:pPr>
        <w:spacing w:after="0"/>
        <w:jc w:val="both"/>
        <w:rPr>
          <w:rFonts w:ascii="Verdana" w:eastAsia="Verdana" w:hAnsi="Verdana" w:cs="Verdana"/>
          <w:sz w:val="20"/>
          <w:szCs w:val="20"/>
          <w:lang w:eastAsia="sl-SI"/>
        </w:rPr>
      </w:pPr>
    </w:p>
    <w:p w14:paraId="1B0FBE8C" w14:textId="77777777" w:rsidR="00364B80" w:rsidRPr="00364B80" w:rsidRDefault="00364B80" w:rsidP="00364B80">
      <w:pPr>
        <w:spacing w:after="0"/>
        <w:jc w:val="both"/>
        <w:rPr>
          <w:rFonts w:ascii="Verdana" w:eastAsia="Verdana" w:hAnsi="Verdana" w:cs="Verdana"/>
          <w:sz w:val="20"/>
          <w:szCs w:val="20"/>
          <w:lang w:eastAsia="sl-SI"/>
        </w:rPr>
      </w:pPr>
      <w:bookmarkStart w:id="1" w:name="_Hlk229387488"/>
      <w:r w:rsidRPr="00364B80">
        <w:rPr>
          <w:rFonts w:ascii="Verdana" w:eastAsia="Verdana" w:hAnsi="Verdana" w:cs="Verdana"/>
          <w:sz w:val="20"/>
          <w:szCs w:val="20"/>
          <w:lang w:eastAsia="sl-SI"/>
        </w:rPr>
        <w:t>Iz končnega poročila izhaja, da vlagatelj ne izpolnjuje 6. standarda kakovosti iz 12. člena Meril za akreditacijo na področju delovanja visokošolskega zavoda, saj so deležniki premalo aktivno in vsebinsko vključeni v formalni sistem kakovosti (npr. podporno, nepedagoško in administrativno osebje). Prav tako je skupina zapisala, da krog kakovosti še vedno ni povsem sklenjen, saj nekateri deležniki niso seznanjeni z rezultati sistema kakovosti. Nekateri deležniki ne prejemajo ustreznih povratnih informacij o ukrepih, sprejetih v skladu z akcijskim načrtom, pobudami in samoevalvacijskim poročilom. Skupina strokovnjakov je ugotovitve zapisala kot delno izpolnjevanje standardov kakovosti, svet agencije pa je na 228. seji presodil, da iz poročila izhaja, da sistem zagotavljanja kakovosti na ravni univerze omogoča spremljanje in zagotavljanje kakovosti zaradi učinkovite neformalne komunikacije in sodelovanja. Svet agencije je posledično ugotovitve spremenil v priložnosti za izboljšanje in priporočil, da vlagatelj okrepi formalno in sistematično vključenost vseh skupin deležnikov</w:t>
      </w:r>
      <w:bookmarkEnd w:id="1"/>
      <w:r w:rsidRPr="00364B80">
        <w:rPr>
          <w:rFonts w:ascii="Verdana" w:eastAsia="Verdana" w:hAnsi="Verdana" w:cs="Verdana"/>
          <w:sz w:val="20"/>
          <w:szCs w:val="20"/>
          <w:lang w:eastAsia="sl-SI"/>
        </w:rPr>
        <w:t>.</w:t>
      </w:r>
    </w:p>
    <w:p w14:paraId="460DB130" w14:textId="77777777" w:rsidR="00364B80" w:rsidRPr="00364B80" w:rsidRDefault="00364B80" w:rsidP="00364B80">
      <w:pPr>
        <w:spacing w:after="0"/>
        <w:jc w:val="both"/>
        <w:rPr>
          <w:rFonts w:ascii="Verdana" w:eastAsia="Verdana" w:hAnsi="Verdana" w:cs="Verdana"/>
          <w:sz w:val="20"/>
          <w:szCs w:val="20"/>
          <w:lang w:eastAsia="sl-SI"/>
        </w:rPr>
      </w:pPr>
    </w:p>
    <w:p w14:paraId="16535E59"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Vlagatelj izpolnjuje standarde kakovosti iz 13. člena Meril za akreditacijo na področju kadrov, saj so zagotovljeni visokošolski učitelji in sodelavci ter znanstveni delavci za kakovostno opravljanje pedagoškega, raziskovalnega in drugega dela, prav tako je od zadnjega podaljšanja akreditacije naraslo število znanstvenih objav izvajalcev študijskih programov druge in tretje stopnje. Vlagatelj zagotavlja strokovno-tehnični in upravno-administrativni kader za učinkovito pomoč in svetovanje, vendar skupina strokovnjakov ugotavlja, da še vedno prihaja do pretirane obremenitve nepedagoških delavcev in  priporoča, da vlagatelj poišče rešitve za razbremenitev administrativnega osebja. </w:t>
      </w:r>
    </w:p>
    <w:p w14:paraId="175742FE" w14:textId="77777777" w:rsidR="00364B80" w:rsidRPr="00364B80" w:rsidRDefault="00364B80" w:rsidP="00364B80">
      <w:pPr>
        <w:spacing w:after="0"/>
        <w:jc w:val="both"/>
        <w:rPr>
          <w:rFonts w:ascii="Verdana" w:eastAsia="Verdana" w:hAnsi="Verdana" w:cs="Verdana"/>
          <w:sz w:val="20"/>
          <w:szCs w:val="20"/>
          <w:lang w:eastAsia="sl-SI"/>
        </w:rPr>
      </w:pPr>
    </w:p>
    <w:p w14:paraId="09B1C8C4"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Vlagatelj izpolnjuje standarde kakovosti iz 14. člena Meril za akreditacijo na področju študentov, saj zagotavlja ustrezno pomoč in svetovanje študentom. Skupina ugotavlja zadovoljstvo študentov z dostopnostjo, strokovnostjo in prijaznostjo profesorjev. Študenti imajo zagotovljene ustrezne razmere za kakovosten študij, znanstveno, strokovno, raziskovalno oziroma umetniško delo ter za obštudijsko dejavnost. Zaradi izvajanja pedagoškega procesa na več lokacijah skupina strokovnjakov priporoča boljšo usklajenost urnikov, saj bi to olajšalo prehajanje in povezovanje med različnimi lokacijami. Skupina strokovnjakov meni, da je poznavanje </w:t>
      </w:r>
      <w:proofErr w:type="spellStart"/>
      <w:r w:rsidRPr="00364B80">
        <w:rPr>
          <w:rFonts w:ascii="Verdana" w:eastAsia="Verdana" w:hAnsi="Verdana" w:cs="Verdana"/>
          <w:sz w:val="20"/>
          <w:szCs w:val="20"/>
          <w:lang w:eastAsia="sl-SI"/>
        </w:rPr>
        <w:t>samoevalvacijskih</w:t>
      </w:r>
      <w:proofErr w:type="spellEnd"/>
      <w:r w:rsidRPr="00364B80">
        <w:rPr>
          <w:rFonts w:ascii="Verdana" w:eastAsia="Verdana" w:hAnsi="Verdana" w:cs="Verdana"/>
          <w:sz w:val="20"/>
          <w:szCs w:val="20"/>
          <w:lang w:eastAsia="sl-SI"/>
        </w:rPr>
        <w:t xml:space="preserve"> poročil med študenti  pomanjkljivo in vlagatelju priporoča, naj okrepi promocijo </w:t>
      </w:r>
      <w:proofErr w:type="spellStart"/>
      <w:r w:rsidRPr="00364B80">
        <w:rPr>
          <w:rFonts w:ascii="Verdana" w:eastAsia="Verdana" w:hAnsi="Verdana" w:cs="Verdana"/>
          <w:sz w:val="20"/>
          <w:szCs w:val="20"/>
          <w:lang w:eastAsia="sl-SI"/>
        </w:rPr>
        <w:t>samovalvacijskih</w:t>
      </w:r>
      <w:proofErr w:type="spellEnd"/>
      <w:r w:rsidRPr="00364B80">
        <w:rPr>
          <w:rFonts w:ascii="Verdana" w:eastAsia="Verdana" w:hAnsi="Verdana" w:cs="Verdana"/>
          <w:sz w:val="20"/>
          <w:szCs w:val="20"/>
          <w:lang w:eastAsia="sl-SI"/>
        </w:rPr>
        <w:t xml:space="preserve"> poročil in procesov zagotavljanja kakovosti med vsemi študenti.</w:t>
      </w:r>
    </w:p>
    <w:p w14:paraId="046FCD6A" w14:textId="77777777" w:rsidR="00364B80" w:rsidRPr="00364B80" w:rsidRDefault="00364B80" w:rsidP="00364B80">
      <w:pPr>
        <w:spacing w:after="0"/>
        <w:jc w:val="both"/>
        <w:rPr>
          <w:rFonts w:ascii="Verdana" w:eastAsia="Verdana" w:hAnsi="Verdana" w:cs="Verdana"/>
          <w:sz w:val="20"/>
          <w:szCs w:val="20"/>
          <w:lang w:eastAsia="sl-SI"/>
        </w:rPr>
      </w:pPr>
    </w:p>
    <w:p w14:paraId="5028168D"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Tudi na področju materialnih razmer vlagatelj izpolnjuje standarde kakovosti, ki so določeni v 15. členu Meril za akreditacijo, saj zagotavlja primerne prostore in opremo za izvajanje svoje dejavnosti. Skupina strokovnjakov prepoznava dosedanje aktivno vključevanje univerze v dolgoročno rešitev vzpostavitve enotnega kampusa in priporoča nadaljnja prizadevanja za ureditev univerzitetnega kampusa in za izboljšanje študentskih namestitev v sodelovanju z Mestno občino Nova Gorica. </w:t>
      </w:r>
    </w:p>
    <w:p w14:paraId="2CF5FE29" w14:textId="77777777" w:rsidR="00364B80" w:rsidRPr="00364B80" w:rsidRDefault="00364B80" w:rsidP="00364B80">
      <w:pPr>
        <w:spacing w:after="0"/>
        <w:jc w:val="both"/>
        <w:rPr>
          <w:rFonts w:ascii="Verdana" w:eastAsia="Verdana" w:hAnsi="Verdana" w:cs="Verdana"/>
          <w:sz w:val="20"/>
          <w:szCs w:val="20"/>
          <w:lang w:eastAsia="sl-SI"/>
        </w:rPr>
      </w:pPr>
    </w:p>
    <w:p w14:paraId="742423B0"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Evalvirana študijska programa je skupina strokovnjakov presojala po področjih presoje, določenih v 21., 22. in 23. členu Meril za akreditacijo. </w:t>
      </w:r>
    </w:p>
    <w:p w14:paraId="297A0B01" w14:textId="77777777" w:rsidR="00364B80" w:rsidRPr="00364B80" w:rsidRDefault="00364B80" w:rsidP="00364B80">
      <w:pPr>
        <w:spacing w:after="0"/>
        <w:jc w:val="both"/>
        <w:rPr>
          <w:rFonts w:ascii="Verdana" w:eastAsia="Verdana" w:hAnsi="Verdana" w:cs="Verdana"/>
          <w:sz w:val="20"/>
          <w:szCs w:val="20"/>
          <w:lang w:eastAsia="sl-SI"/>
        </w:rPr>
      </w:pPr>
      <w:bookmarkStart w:id="2" w:name="branje1"/>
      <w:bookmarkEnd w:id="2"/>
    </w:p>
    <w:p w14:paraId="4A04E6C7"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Iz končnega poročila izhaja, da </w:t>
      </w:r>
      <w:r w:rsidRPr="00364B80">
        <w:rPr>
          <w:rFonts w:ascii="Verdana" w:eastAsia="Verdana" w:hAnsi="Verdana" w:cs="Verdana"/>
          <w:b/>
          <w:bCs/>
          <w:sz w:val="20"/>
          <w:szCs w:val="20"/>
          <w:lang w:eastAsia="sl-SI"/>
        </w:rPr>
        <w:t>univerzitetni študijski program Kulturna zgodovina</w:t>
      </w:r>
      <w:r w:rsidRPr="00364B80">
        <w:rPr>
          <w:rFonts w:ascii="Verdana" w:eastAsia="Verdana" w:hAnsi="Verdana" w:cs="Verdana"/>
          <w:sz w:val="20"/>
          <w:szCs w:val="20"/>
          <w:lang w:eastAsia="sl-SI"/>
        </w:rPr>
        <w:t xml:space="preserve"> izpolnjuje 2.–5. standard kakovosti in ne izpolnjuje 1. standarda kakovosti. </w:t>
      </w:r>
    </w:p>
    <w:p w14:paraId="391629B9"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Na področju notranjega zagotavljanja in izboljševanja kakovosti študijskega programa skupina strokovnjakov pri 1. standardu ugotavlja, da mora fakulteta v skladu z Merili za kreditno vrednotenje študijskih programov po ECTS vzpostaviti formaliziran in sistematičen postopek spremljanja dejanske študijske obremenitve pri vseh predmetih. Trenutni pristop, ki temelji predvsem na neformalnem zbiranju informacij in spremljanju prisotnosti ter samostojnega dela, ne zadošča. Skupina strokovnjakov je ugotovitve zapisala kot delno izpolnjevanje standardov kakovosti, svet agencije pa je na 228. seji presodil, da gre za neskladnosti. V odzivu na poziv sveta o izjasnitvi je vlagatelj pojasnil, da je v skladu z ugotovitvami skupine strokovnjakov sprejel ustrezne spremembe in dopolnitve Poslovnika kakovosti, ki se nanašajo na zapis metodologije spremljanja dejanske študijske obremenitve in uporabe rezultatov za prilagoditve izvedbe predmeta ali spremembe obsega posameznih oblik dela oz. učnega načrta v primeru ugotovljenih večjih odstopanj. Na podlagi odziva je svet agencije ugotovil, da je vlagatelj ustrezno formaliziral postopek spremljanja dejanske obremenitve. Posledično je svet agencije ugotovil, da so neskladnosti odpravljene in je 1. standard 21. člena Meril za akreditacijo izpolnjen. Svet agencije je prav tako sledil priporočilu skupine strokovnjakov o večjem vključevanju ostalih notranjih in zunanjih deležnikov (strokovnega osebja, alumnov in zunanjih partnerjev) v proces samoevalvacije študijskega programa.</w:t>
      </w:r>
    </w:p>
    <w:p w14:paraId="224B7859" w14:textId="77777777" w:rsidR="00364B80" w:rsidRPr="00364B80" w:rsidRDefault="00364B80" w:rsidP="00364B80">
      <w:pPr>
        <w:spacing w:after="0"/>
        <w:jc w:val="both"/>
        <w:rPr>
          <w:rFonts w:ascii="Verdana" w:eastAsia="Verdana" w:hAnsi="Verdana" w:cs="Verdana"/>
          <w:sz w:val="20"/>
          <w:szCs w:val="20"/>
          <w:lang w:eastAsia="sl-SI"/>
        </w:rPr>
      </w:pPr>
    </w:p>
    <w:p w14:paraId="4454B584"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Vlagatelj izpolnjuje 2. standard na področju notranjega zagotavljanja in izboljševanja kakovosti študijskega programa. Kljub temu skupina strokovnjakov ugotavlja, da je v </w:t>
      </w:r>
      <w:proofErr w:type="spellStart"/>
      <w:r w:rsidRPr="00364B80">
        <w:rPr>
          <w:rFonts w:ascii="Verdana" w:eastAsia="Verdana" w:hAnsi="Verdana" w:cs="Verdana"/>
          <w:sz w:val="20"/>
          <w:szCs w:val="20"/>
          <w:lang w:eastAsia="sl-SI"/>
        </w:rPr>
        <w:t>samoevalvacijskih</w:t>
      </w:r>
      <w:proofErr w:type="spellEnd"/>
      <w:r w:rsidRPr="00364B80">
        <w:rPr>
          <w:rFonts w:ascii="Verdana" w:eastAsia="Verdana" w:hAnsi="Verdana" w:cs="Verdana"/>
          <w:sz w:val="20"/>
          <w:szCs w:val="20"/>
          <w:lang w:eastAsia="sl-SI"/>
        </w:rPr>
        <w:t xml:space="preserve"> poročilih potrebno zagotoviti boljšo povezanost med načrtovanimi ukrepi in rezultati njihovega izvajanja. Poročila morajo vključevati količinsko opredeljene kazalnike za merjenje uspešnosti, ki jih je mogoče spremljati in primerjati med posameznimi leti. V okviru </w:t>
      </w:r>
      <w:proofErr w:type="spellStart"/>
      <w:r w:rsidRPr="00364B80">
        <w:rPr>
          <w:rFonts w:ascii="Verdana" w:eastAsia="Verdana" w:hAnsi="Verdana" w:cs="Verdana"/>
          <w:sz w:val="20"/>
          <w:szCs w:val="20"/>
          <w:lang w:eastAsia="sl-SI"/>
        </w:rPr>
        <w:t>samoevalvacijskih</w:t>
      </w:r>
      <w:proofErr w:type="spellEnd"/>
      <w:r w:rsidRPr="00364B80">
        <w:rPr>
          <w:rFonts w:ascii="Verdana" w:eastAsia="Verdana" w:hAnsi="Verdana" w:cs="Verdana"/>
          <w:sz w:val="20"/>
          <w:szCs w:val="20"/>
          <w:lang w:eastAsia="sl-SI"/>
        </w:rPr>
        <w:t xml:space="preserve"> poročil je treba vzpostaviti mehanizem za formalno evidentiranje in poročanje o manjših, sprotnih prilagoditvah študijskega programa, izvedenih med študijskim letom, s čimer se zagotovi celovit in natančen pregled izboljšav programa. </w:t>
      </w:r>
    </w:p>
    <w:p w14:paraId="00C451DD" w14:textId="77777777" w:rsidR="00364B80" w:rsidRPr="00364B80" w:rsidRDefault="00364B80" w:rsidP="00364B80">
      <w:pPr>
        <w:spacing w:after="0"/>
        <w:jc w:val="both"/>
        <w:rPr>
          <w:rFonts w:ascii="Verdana" w:eastAsia="Verdana" w:hAnsi="Verdana" w:cs="Verdana"/>
          <w:sz w:val="20"/>
          <w:szCs w:val="20"/>
          <w:lang w:eastAsia="sl-SI"/>
        </w:rPr>
      </w:pPr>
    </w:p>
    <w:p w14:paraId="322FBCD9" w14:textId="77777777" w:rsidR="00222F90" w:rsidRDefault="00222F90" w:rsidP="00364B80">
      <w:pPr>
        <w:spacing w:after="0"/>
        <w:jc w:val="both"/>
        <w:rPr>
          <w:rFonts w:ascii="Verdana" w:eastAsia="Verdana" w:hAnsi="Verdana" w:cs="Verdana"/>
          <w:sz w:val="20"/>
          <w:szCs w:val="20"/>
          <w:lang w:eastAsia="sl-SI"/>
        </w:rPr>
      </w:pPr>
    </w:p>
    <w:p w14:paraId="1C1F2539" w14:textId="77777777" w:rsidR="00222F90" w:rsidRDefault="00222F90" w:rsidP="00364B80">
      <w:pPr>
        <w:spacing w:after="0"/>
        <w:jc w:val="both"/>
        <w:rPr>
          <w:rFonts w:ascii="Verdana" w:eastAsia="Verdana" w:hAnsi="Verdana" w:cs="Verdana"/>
          <w:sz w:val="20"/>
          <w:szCs w:val="20"/>
          <w:lang w:eastAsia="sl-SI"/>
        </w:rPr>
      </w:pPr>
    </w:p>
    <w:p w14:paraId="068534A6" w14:textId="6C6C91B8"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Vlagatelj izpolnjuje standarde kakovosti iz 22. člena Meril za akreditacijo na področju spreminjanja, posodabljanja in izvajanja študijskega programa. Skupina strokovnjakov priporoča dodatno krepitev promocije in uvajanje nadaljnjih vsebinskih sprememb programa, ki bi pritegnile več študentov ter program naredile stabilnejši in bolj odporen na izzive prihodnosti. Prav tako skupina priporoča okrepitev sodelovanja z alumni in zaposlovalci, kar bi prineslo dodatne ključne in dragocene informacije, na podlagi katerih bi lahko še naprej uspešno posodabljali program v smeri atraktivnosti, aplikativnosti, prilagoditev potrebam trga ter zaposljivosti. </w:t>
      </w:r>
    </w:p>
    <w:p w14:paraId="3F4181F9" w14:textId="77777777" w:rsidR="00364B80" w:rsidRPr="00364B80" w:rsidRDefault="00364B80" w:rsidP="00364B80">
      <w:pPr>
        <w:spacing w:after="0"/>
        <w:jc w:val="both"/>
        <w:rPr>
          <w:rFonts w:ascii="Verdana" w:eastAsia="Verdana" w:hAnsi="Verdana" w:cs="Verdana"/>
          <w:sz w:val="20"/>
          <w:szCs w:val="20"/>
          <w:lang w:eastAsia="sl-SI"/>
        </w:rPr>
      </w:pPr>
    </w:p>
    <w:p w14:paraId="4F23FF3C" w14:textId="77777777" w:rsidR="00364B80" w:rsidRPr="00364B80" w:rsidRDefault="00364B80" w:rsidP="00364B80">
      <w:pPr>
        <w:spacing w:after="0"/>
        <w:jc w:val="both"/>
        <w:rPr>
          <w:rFonts w:ascii="Verdana" w:eastAsia="Verdana" w:hAnsi="Verdana" w:cs="Verdana"/>
          <w:b/>
          <w:bCs/>
          <w:sz w:val="20"/>
          <w:szCs w:val="20"/>
          <w:lang w:eastAsia="sl-SI"/>
        </w:rPr>
      </w:pPr>
      <w:r w:rsidRPr="00364B80">
        <w:rPr>
          <w:rFonts w:ascii="Verdana" w:eastAsia="Verdana" w:hAnsi="Verdana" w:cs="Verdana"/>
          <w:sz w:val="20"/>
          <w:szCs w:val="20"/>
          <w:lang w:eastAsia="sl-SI"/>
        </w:rPr>
        <w:t>Vlagatelj izpolnjuje standarde kakovosti iz 23. člena Meril za akreditacijo na področju izvajanja študijskega programa, saj način, oblika in obseg izvajanja študijskega programa ustrezajo njegovi vsebini, sestavi, vrsti in stopnji, tako da so kakovostno prilagojene in zagotovljene študijske vsebine, izvedbene prakse in viri (kadrovski in materialni). Skupina izpostavlja dobro prakso visoke povezanosti študijskega programa z okoljem, kar krepi strokovno mrežo in razumevanje praktične vrednosti študija. Vlagatelj prav tako zagotavlja varovanje pravic deležnikov v študijskem procesu.</w:t>
      </w:r>
    </w:p>
    <w:p w14:paraId="33039037" w14:textId="77777777" w:rsidR="00364B80" w:rsidRPr="00364B80" w:rsidRDefault="00364B80" w:rsidP="00364B80">
      <w:pPr>
        <w:spacing w:after="0"/>
        <w:jc w:val="both"/>
        <w:rPr>
          <w:rFonts w:ascii="Verdana" w:eastAsia="Verdana" w:hAnsi="Verdana" w:cs="Verdana"/>
          <w:sz w:val="20"/>
          <w:szCs w:val="20"/>
          <w:lang w:eastAsia="sl-SI"/>
        </w:rPr>
      </w:pPr>
    </w:p>
    <w:p w14:paraId="2AC06BA4"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Iz končnega poročila izhaja, da </w:t>
      </w:r>
      <w:r w:rsidRPr="00364B80">
        <w:rPr>
          <w:rFonts w:ascii="Verdana" w:eastAsia="Verdana" w:hAnsi="Verdana" w:cs="Verdana"/>
          <w:b/>
          <w:bCs/>
          <w:sz w:val="20"/>
          <w:szCs w:val="20"/>
          <w:lang w:eastAsia="sl-SI"/>
        </w:rPr>
        <w:t>magistrski študijski program Načrtovanje in vodenje odprtega izobraževanja</w:t>
      </w:r>
      <w:r w:rsidRPr="00364B80">
        <w:rPr>
          <w:rFonts w:ascii="Verdana" w:eastAsia="Verdana" w:hAnsi="Verdana" w:cs="Verdana"/>
          <w:sz w:val="20"/>
          <w:szCs w:val="20"/>
          <w:lang w:eastAsia="sl-SI"/>
        </w:rPr>
        <w:t xml:space="preserve"> izpolnjuje 1.-3. standard kakovosti ter ne izpolnjuje 4. in 5. standarda kakovosti. </w:t>
      </w:r>
    </w:p>
    <w:p w14:paraId="32EE4E5E"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Vlagatelj izpolnjuje standarde kakovosti iz 21. člena Meril za akreditacijo na področju notranjega zagotavljanja in izboljševanja kakovosti študijskega programa. Skupina strokovnjakov priporoča, naj fakulteta okrepi analizo trga dela z vključevanjem mnenj zaposlovalcev, saj ti podatki pomembno prispevajo k razumevanju potrebnih kompetenc diplomantov in ustreznosti izvedbe programa ter podpirajo razmislek o morebitnih prilagoditvah programa ali prestrukturiranju magistrskega študijskega programa v drugo vrsto študija (kot so krajše izobraževanje in usposabljanje za pridobitev </w:t>
      </w:r>
      <w:proofErr w:type="spellStart"/>
      <w:r w:rsidRPr="00364B80">
        <w:rPr>
          <w:rFonts w:ascii="Verdana" w:eastAsia="Verdana" w:hAnsi="Verdana" w:cs="Verdana"/>
          <w:sz w:val="20"/>
          <w:szCs w:val="20"/>
          <w:lang w:eastAsia="sl-SI"/>
        </w:rPr>
        <w:t>mikrodokazila</w:t>
      </w:r>
      <w:proofErr w:type="spellEnd"/>
      <w:r w:rsidRPr="00364B80">
        <w:rPr>
          <w:rFonts w:ascii="Verdana" w:eastAsia="Verdana" w:hAnsi="Verdana" w:cs="Verdana"/>
          <w:sz w:val="20"/>
          <w:szCs w:val="20"/>
          <w:lang w:eastAsia="sl-SI"/>
        </w:rPr>
        <w:t>, poletna šola ipd.). Skupina strokovnjakov prav tako predlaga vzpostavitev pregledne matrike kvantitativnih in kvalitativnih kazalnikov za učinkovito izvajanje samoevalvacije. Pri uresničevanju nalog, načrtovanih na podlagi izsledkov samoevalvacije študijskega programa, skupina strokovnjakov priporoča, da mora obstajati jasna, dokazljiva in vsebinsko utemeljena povezava med identificiranimi ugotovitvami, predlaganimi priporočili za nadaljnje ukrepanje in njihovo vključitvijo v akcijski načrt. Samoevalvacijska poročila morajo za vsak ukrep vključevati merljive kazalnike uspešnosti. Posledično naj vsako poročilo vsebuje posebno poglavje za navzkrižno povezovanje ciljev in ukrepov ter za jasno poročanje o stanju realizacije vseh ciljev in aktivnosti iz akcijskega načrta preteklega leta.</w:t>
      </w:r>
    </w:p>
    <w:p w14:paraId="7B41332D" w14:textId="77777777" w:rsidR="00364B80" w:rsidRPr="00364B80" w:rsidRDefault="00364B80" w:rsidP="00364B80">
      <w:pPr>
        <w:spacing w:after="0"/>
        <w:jc w:val="both"/>
        <w:rPr>
          <w:rFonts w:ascii="Verdana" w:eastAsia="Verdana" w:hAnsi="Verdana" w:cs="Verdana"/>
          <w:sz w:val="20"/>
          <w:szCs w:val="20"/>
          <w:lang w:eastAsia="sl-SI"/>
        </w:rPr>
      </w:pPr>
    </w:p>
    <w:p w14:paraId="0F554D0C"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Vlagatelj izpolnjuje standarde kakovosti iz 22. člena Meril za akreditacijo na področju spreminjanja, posodabljanja in izvajanja študijskega programa. Skupina strokovnjakov meni, da je potrebno oblikovati jasen kompetenčni profil diplomanta, ki bo služil kot usmeritev za posodobitev predmetnika, učnih izidov in izbirnih modulov programa. Prav tako skupina strokovnjakov priporoča okrepitev vertikalne in horizontalne povezanosti vsebin med predmeti za izboljšanje povezave učnih izidov in kompetenc skozi celoten program. </w:t>
      </w:r>
    </w:p>
    <w:p w14:paraId="56797709" w14:textId="77777777" w:rsidR="00364B80" w:rsidRPr="00364B80" w:rsidRDefault="00364B80" w:rsidP="00364B80">
      <w:pPr>
        <w:spacing w:after="0"/>
        <w:jc w:val="both"/>
        <w:rPr>
          <w:rFonts w:ascii="Verdana" w:eastAsia="Verdana" w:hAnsi="Verdana" w:cs="Verdana"/>
          <w:sz w:val="20"/>
          <w:szCs w:val="20"/>
          <w:lang w:eastAsia="sl-SI"/>
        </w:rPr>
      </w:pPr>
    </w:p>
    <w:p w14:paraId="0CD87E85"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Iz končnega poročila izhaja, da vlagatelj ne izpolnjuje standardov kakovosti iz 23. člena Meril za akreditacijo na področju izvajanja študijskega programa. Pri 4. standardu skupina strokovnjakov ugotavlja, da dejanski način izvajanja ni skladen z načinom, predvidenim v učnih načrtih (učni jezik) ter da v učnih načrtih predmetov ni navedeno, v kolikšnem deležu se pedagoški proces izvaja v živo in v kolikšnem deležu na daljavo. Skupina strokovnjakov je ugotovitvi zapisala kot delno izpolnjevanje standardov kakovosti, svet agencije pa je na 228. seji presodil, da gre za neskladnosti in vlagatelja pozval k izjasnitvi skladno z 9. členom ZUP. Skupina strokovnjakov je kot neskladnost opredelila, da večina obvezne študijske literature, </w:t>
      </w:r>
      <w:r w:rsidRPr="00364B80">
        <w:rPr>
          <w:rFonts w:ascii="Verdana" w:eastAsia="Verdana" w:hAnsi="Verdana" w:cs="Verdana"/>
          <w:sz w:val="20"/>
          <w:szCs w:val="20"/>
          <w:lang w:eastAsia="sl-SI"/>
        </w:rPr>
        <w:lastRenderedPageBreak/>
        <w:t xml:space="preserve">navedene v učnih načrtih, ni na voljo v knjižnici, pri čemer je opozorila naj zavod pri odpravi te neskladnosti upošteva dejanski način študija. Vlagatelj je v svojem odzivu pojasnil, da je spremenil in dopolnil učne načrte. Posledično je svet agencije ugotovil, da so neskladnosti odpravljene in je 4. standard 23. člena Meril za akreditacijo izpolnjen. Svet agencije je sledil priporočilom skupine strokovnjakov, da naj vlagatelj poveže fragmentirane raziskovalne vsebine izvajalcev programa v okviru raziskovalne skupine fakultete, v večji meri vključuje študente v raziskovalne projekte profesorjev, okrepi promocijo študijskega programa in poveča vpis novih študentov ter ustrezno načrtuje in spremlja število ur, ki so predvidene za samostojno delo študentov. </w:t>
      </w:r>
    </w:p>
    <w:p w14:paraId="687A7D85"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Pri 5. standardu skupina strokovnjakov ugotavlja, da preverjanje in ocenjevanje znanja poteka v celoti na daljavo, kar je v neskladju z učnimi načrti. Prav tako je nujna posodobitev zahtevanih pogojev za opravljanje predmeta Strategije odprtega izobraževanja. Skupina strokovnjakov je to ugotovitev ocenila kot delno izpolnjevanje standardov kakovosti, svet agencije pa je na 228. seji presodil, da gre za neskladnosti in vlagatelja pozval k izjasnitvi skladno z 9. členom ZUP. Vlagatelj je v svojem odzivu pojasnil, da je spremenil in dopolnil učne načrte. Posledično je svet agencije ugotovil, da so neskladnosti odpravljene in je 5. standard 23. člena Meril za akreditacijo izpolnjen. Svet agencije je poleg tega sledil priporočiloma skupine strokovnjakov, da vlagatelj dopolni pravilnik o ocenjevanju s podrobnejšo ureditvijo preverjanja znanja na daljavo in da  informacije o izvedbi študija, ki so zapisane na spletni strani, uskladi z dejanskim stanjem. </w:t>
      </w:r>
    </w:p>
    <w:p w14:paraId="3E2E42EA" w14:textId="77777777" w:rsidR="00364B80" w:rsidRPr="00364B80" w:rsidRDefault="00364B80" w:rsidP="00364B80">
      <w:pPr>
        <w:spacing w:after="0"/>
        <w:jc w:val="both"/>
        <w:rPr>
          <w:rFonts w:ascii="Verdana" w:eastAsia="Verdana" w:hAnsi="Verdana" w:cs="Verdana"/>
          <w:sz w:val="20"/>
          <w:szCs w:val="20"/>
          <w:lang w:eastAsia="sl-SI"/>
        </w:rPr>
      </w:pPr>
    </w:p>
    <w:p w14:paraId="0FC9DE8E" w14:textId="77777777" w:rsidR="00364B80" w:rsidRPr="00364B80" w:rsidRDefault="00364B80" w:rsidP="00364B80">
      <w:pPr>
        <w:spacing w:after="0"/>
        <w:jc w:val="both"/>
        <w:rPr>
          <w:rFonts w:ascii="Verdana" w:eastAsia="Verdana" w:hAnsi="Verdana" w:cs="Verdana"/>
          <w:sz w:val="20"/>
          <w:szCs w:val="20"/>
          <w:lang w:eastAsia="sl-SI"/>
        </w:rPr>
      </w:pPr>
    </w:p>
    <w:p w14:paraId="4E6BB55E"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Na podlagi navedenega svet agencije ugotavlja, da vlagatelj izpolnjuje vse standarde kakovosti in pogoje, ki jih za podaljšanje akreditacije visokošolskega zavoda določata ZViS in Merila za akreditacijo, zato je skladno s osmim odstavkom </w:t>
      </w:r>
      <w:proofErr w:type="spellStart"/>
      <w:r w:rsidRPr="00364B80">
        <w:rPr>
          <w:rFonts w:ascii="Verdana" w:eastAsia="Verdana" w:hAnsi="Verdana" w:cs="Verdana"/>
          <w:sz w:val="20"/>
          <w:szCs w:val="20"/>
          <w:lang w:eastAsia="sl-SI"/>
        </w:rPr>
        <w:t>51.r</w:t>
      </w:r>
      <w:proofErr w:type="spellEnd"/>
      <w:r w:rsidRPr="00364B80">
        <w:rPr>
          <w:rFonts w:ascii="Verdana" w:eastAsia="Verdana" w:hAnsi="Verdana" w:cs="Verdana"/>
          <w:sz w:val="20"/>
          <w:szCs w:val="20"/>
          <w:lang w:eastAsia="sl-SI"/>
        </w:rPr>
        <w:t xml:space="preserve"> člena ZViS sklenil, kot je odločeno v 1. točki izreka te odločbe.</w:t>
      </w:r>
    </w:p>
    <w:p w14:paraId="1519B171" w14:textId="77777777" w:rsidR="00364B80" w:rsidRPr="00364B80" w:rsidRDefault="00364B80" w:rsidP="00364B80">
      <w:pPr>
        <w:spacing w:after="0"/>
        <w:jc w:val="both"/>
        <w:rPr>
          <w:rFonts w:ascii="Verdana" w:eastAsia="Verdana" w:hAnsi="Verdana" w:cs="Verdana"/>
          <w:sz w:val="20"/>
          <w:szCs w:val="20"/>
          <w:lang w:eastAsia="sl-SI"/>
        </w:rPr>
      </w:pPr>
    </w:p>
    <w:p w14:paraId="15B8EACF"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Merila za akreditacijo v prvem odstavku </w:t>
      </w:r>
      <w:proofErr w:type="spellStart"/>
      <w:r w:rsidRPr="00364B80">
        <w:rPr>
          <w:rFonts w:ascii="Verdana" w:eastAsia="Verdana" w:hAnsi="Verdana" w:cs="Verdana"/>
          <w:sz w:val="20"/>
          <w:szCs w:val="20"/>
          <w:lang w:eastAsia="sl-SI"/>
        </w:rPr>
        <w:t>49.a</w:t>
      </w:r>
      <w:proofErr w:type="spellEnd"/>
      <w:r w:rsidRPr="00364B80">
        <w:rPr>
          <w:rFonts w:ascii="Verdana" w:eastAsia="Verdana" w:hAnsi="Verdana" w:cs="Verdana"/>
          <w:sz w:val="20"/>
          <w:szCs w:val="20"/>
          <w:lang w:eastAsia="sl-SI"/>
        </w:rPr>
        <w:t xml:space="preserve"> člena določajo, da mora visokošolski zavod v 2 letih od dokončnosti odločbe, s katero mu je bila akreditacija podeljena ali podaljšana za pet let, akreditacija podeljena študijskemu programu ali ugotovljena ustreznost izvajanja študijskega programa, svetu agencije poročati o napredku in upoštevanju priporočil, ki so bila izražena v odločbi oziroma končnem poročilu skupine strokovnjakov. Poročilo o napredku se lahko sklicuje na dele samoevalvacijskega ali drugega poročila, iz katerih je razviden napredek oziroma upoštevanje priporočil.</w:t>
      </w:r>
    </w:p>
    <w:p w14:paraId="7214C7DC" w14:textId="77777777" w:rsidR="00364B80" w:rsidRPr="00364B80" w:rsidRDefault="00364B80" w:rsidP="00364B80">
      <w:pPr>
        <w:spacing w:after="0"/>
        <w:jc w:val="both"/>
        <w:rPr>
          <w:rFonts w:ascii="Verdana" w:eastAsia="Verdana" w:hAnsi="Verdana" w:cs="Verdana"/>
          <w:sz w:val="20"/>
          <w:szCs w:val="20"/>
          <w:lang w:eastAsia="sl-SI"/>
        </w:rPr>
      </w:pPr>
    </w:p>
    <w:p w14:paraId="224439C3"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Svet agencije ugotavlja, da so izpolnjeni pogoji za podaljšanje akreditacije visokošolskemu zavodu Univerzi v Novi Gorici za pet let, zato je sklenil, kot je odločeno v 1. točki izreka te odločbe. </w:t>
      </w:r>
    </w:p>
    <w:p w14:paraId="2E68A49D" w14:textId="77777777" w:rsidR="00364B80" w:rsidRPr="00364B80" w:rsidRDefault="00364B80" w:rsidP="00364B80">
      <w:pPr>
        <w:spacing w:after="0"/>
        <w:jc w:val="both"/>
        <w:rPr>
          <w:rFonts w:ascii="Verdana" w:eastAsia="Verdana" w:hAnsi="Verdana" w:cs="Verdana"/>
          <w:sz w:val="20"/>
          <w:szCs w:val="20"/>
          <w:lang w:eastAsia="sl-SI"/>
        </w:rPr>
      </w:pPr>
    </w:p>
    <w:p w14:paraId="7F7FEC67" w14:textId="2C39E7BE"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Na podlagi 118. člena ZUP organ v odločbi odloči o stroških postopka, kdo trpi stroške postopka, koliko znašajo ter komu in v katerem roku jih je treba plačati. Stroški v postopku predstavljajo avtorske honorarje v </w:t>
      </w:r>
      <w:r w:rsidRPr="00784A7D">
        <w:rPr>
          <w:rFonts w:ascii="Verdana" w:eastAsia="Verdana" w:hAnsi="Verdana" w:cs="Verdana"/>
          <w:sz w:val="20"/>
          <w:szCs w:val="20"/>
          <w:lang w:eastAsia="sl-SI"/>
        </w:rPr>
        <w:t xml:space="preserve">višini </w:t>
      </w:r>
      <w:r w:rsidR="00784A7D" w:rsidRPr="00784A7D">
        <w:rPr>
          <w:rFonts w:ascii="Verdana" w:eastAsia="Verdana" w:hAnsi="Verdana" w:cs="Verdana"/>
          <w:sz w:val="20"/>
          <w:szCs w:val="20"/>
          <w:lang w:eastAsia="sl-SI"/>
        </w:rPr>
        <w:t>15.300 EUR</w:t>
      </w:r>
      <w:r w:rsidR="00784A7D" w:rsidRPr="00784A7D">
        <w:rPr>
          <w:rFonts w:ascii="Verdana" w:eastAsia="Verdana" w:hAnsi="Verdana" w:cs="Verdana"/>
          <w:sz w:val="20"/>
          <w:szCs w:val="20"/>
          <w:lang w:eastAsia="sl-SI"/>
        </w:rPr>
        <w:t xml:space="preserve"> </w:t>
      </w:r>
      <w:r w:rsidRPr="00784A7D">
        <w:rPr>
          <w:rFonts w:ascii="Verdana" w:eastAsia="Verdana" w:hAnsi="Verdana" w:cs="Verdana"/>
          <w:sz w:val="20"/>
          <w:szCs w:val="20"/>
          <w:lang w:eastAsia="sl-SI"/>
        </w:rPr>
        <w:t>bruto</w:t>
      </w:r>
      <w:r w:rsidRPr="00364B80">
        <w:rPr>
          <w:rFonts w:ascii="Verdana" w:eastAsia="Verdana" w:hAnsi="Verdana" w:cs="Verdana"/>
          <w:sz w:val="20"/>
          <w:szCs w:val="20"/>
          <w:lang w:eastAsia="sl-SI"/>
        </w:rPr>
        <w:t xml:space="preserve"> in potne stroške. Skladno z </w:t>
      </w:r>
      <w:proofErr w:type="spellStart"/>
      <w:r w:rsidRPr="00364B80">
        <w:rPr>
          <w:rFonts w:ascii="Verdana" w:eastAsia="Verdana" w:hAnsi="Verdana" w:cs="Verdana"/>
          <w:sz w:val="20"/>
          <w:szCs w:val="20"/>
          <w:lang w:eastAsia="sl-SI"/>
        </w:rPr>
        <w:t>51.n</w:t>
      </w:r>
      <w:proofErr w:type="spellEnd"/>
      <w:r w:rsidRPr="00364B80">
        <w:rPr>
          <w:rFonts w:ascii="Verdana" w:eastAsia="Verdana" w:hAnsi="Verdana" w:cs="Verdana"/>
          <w:sz w:val="20"/>
          <w:szCs w:val="20"/>
          <w:lang w:eastAsia="sl-SI"/>
        </w:rPr>
        <w:t xml:space="preserve"> členom ZViS se sredstva za plačilo in povračilo stroškov skupin strokovnjakov zagotovijo v finančnem načrtu agencije.</w:t>
      </w:r>
    </w:p>
    <w:p w14:paraId="699D35A9" w14:textId="77777777" w:rsidR="00364B80" w:rsidRPr="00364B80" w:rsidRDefault="00364B80" w:rsidP="00364B80">
      <w:pPr>
        <w:spacing w:after="0"/>
        <w:jc w:val="both"/>
        <w:rPr>
          <w:rFonts w:ascii="Verdana" w:eastAsia="Verdana" w:hAnsi="Verdana" w:cs="Verdana"/>
          <w:sz w:val="20"/>
          <w:szCs w:val="20"/>
          <w:lang w:eastAsia="sl-SI"/>
        </w:rPr>
      </w:pPr>
    </w:p>
    <w:p w14:paraId="4F20732E"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b/>
          <w:bCs/>
          <w:sz w:val="20"/>
          <w:szCs w:val="20"/>
          <w:lang w:eastAsia="sl-SI"/>
        </w:rPr>
        <w:t>Pouk o pravnem sredstvu</w:t>
      </w:r>
    </w:p>
    <w:p w14:paraId="2AEF7CEF" w14:textId="77777777" w:rsidR="00364B80" w:rsidRPr="00364B80" w:rsidRDefault="00364B80" w:rsidP="00364B80">
      <w:pPr>
        <w:spacing w:after="0"/>
        <w:jc w:val="both"/>
        <w:rPr>
          <w:rFonts w:ascii="Verdana" w:eastAsia="Verdana" w:hAnsi="Verdana" w:cs="Verdana"/>
          <w:sz w:val="20"/>
          <w:szCs w:val="20"/>
          <w:lang w:eastAsia="sl-SI"/>
        </w:rPr>
      </w:pPr>
    </w:p>
    <w:p w14:paraId="4098B2C4" w14:textId="77777777"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sz w:val="20"/>
          <w:szCs w:val="20"/>
          <w:lang w:eastAsia="sl-SI"/>
        </w:rPr>
        <w:t xml:space="preserve">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w:t>
      </w:r>
      <w:r w:rsidRPr="00364B80">
        <w:rPr>
          <w:rFonts w:ascii="Verdana" w:eastAsia="Verdana" w:hAnsi="Verdana" w:cs="Verdana"/>
          <w:sz w:val="20"/>
          <w:szCs w:val="20"/>
          <w:lang w:eastAsia="sl-SI"/>
        </w:rPr>
        <w:lastRenderedPageBreak/>
        <w:t>Republike Slovenije za kakovost v visokem šolstvu. Šteje se, da je pritožba pravočasna, če je zadnji dan roka oddana priporočeno po pošti.</w:t>
      </w:r>
    </w:p>
    <w:p w14:paraId="3D0EF028" w14:textId="77777777" w:rsidR="00364B80" w:rsidRPr="00364B80" w:rsidRDefault="00364B80" w:rsidP="00364B80">
      <w:pPr>
        <w:spacing w:after="0"/>
        <w:jc w:val="both"/>
        <w:rPr>
          <w:rFonts w:ascii="Verdana" w:eastAsia="Verdana" w:hAnsi="Verdana" w:cs="Verdana"/>
          <w:sz w:val="20"/>
          <w:szCs w:val="20"/>
          <w:lang w:eastAsia="sl-SI"/>
        </w:rPr>
      </w:pPr>
    </w:p>
    <w:p w14:paraId="011FF80A" w14:textId="77777777" w:rsidR="00364B80" w:rsidRPr="00364B80" w:rsidRDefault="00364B80" w:rsidP="00364B80">
      <w:pPr>
        <w:spacing w:after="0"/>
        <w:jc w:val="both"/>
        <w:rPr>
          <w:rFonts w:ascii="Verdana" w:eastAsia="Verdana" w:hAnsi="Verdana" w:cs="Verdana"/>
          <w:sz w:val="20"/>
          <w:szCs w:val="20"/>
          <w:lang w:eastAsia="sl-SI"/>
        </w:rPr>
      </w:pPr>
    </w:p>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91"/>
        <w:gridCol w:w="4691"/>
      </w:tblGrid>
      <w:tr w:rsidR="00364B80" w:rsidRPr="00364B80" w14:paraId="317F2215" w14:textId="77777777" w:rsidTr="0004664B">
        <w:trPr>
          <w:jc w:val="both"/>
        </w:trPr>
        <w:tc>
          <w:tcPr>
            <w:tcW w:w="2500" w:type="pct"/>
            <w:tcBorders>
              <w:top w:val="nil"/>
              <w:left w:val="nil"/>
              <w:bottom w:val="nil"/>
              <w:right w:val="nil"/>
            </w:tcBorders>
          </w:tcPr>
          <w:p w14:paraId="427B5260" w14:textId="77777777" w:rsidR="00364B80" w:rsidRPr="00364B80" w:rsidRDefault="00364B80" w:rsidP="00364B80">
            <w:pPr>
              <w:spacing w:after="0"/>
              <w:rPr>
                <w:rFonts w:ascii="Verdana" w:eastAsia="Verdana" w:hAnsi="Verdana" w:cs="Verdana"/>
                <w:sz w:val="20"/>
                <w:szCs w:val="20"/>
                <w:lang w:eastAsia="sl-SI"/>
              </w:rPr>
            </w:pPr>
            <w:r w:rsidRPr="00364B80">
              <w:rPr>
                <w:rFonts w:ascii="Verdana" w:eastAsia="Verdana" w:hAnsi="Verdana" w:cs="Verdana"/>
                <w:sz w:val="20"/>
                <w:szCs w:val="20"/>
                <w:lang w:eastAsia="sl-SI"/>
              </w:rPr>
              <w:t>Nataša Kramar</w:t>
            </w:r>
            <w:r w:rsidRPr="00364B80">
              <w:rPr>
                <w:rFonts w:ascii="Verdana" w:eastAsia="Verdana" w:hAnsi="Verdana" w:cs="Verdana"/>
                <w:sz w:val="20"/>
                <w:szCs w:val="20"/>
                <w:lang w:eastAsia="sl-SI"/>
              </w:rPr>
              <w:br/>
              <w:t>višja svetovalka področja I</w:t>
            </w:r>
            <w:r w:rsidRPr="00364B80">
              <w:rPr>
                <w:rFonts w:ascii="Verdana" w:eastAsia="Verdana" w:hAnsi="Verdana" w:cs="Verdana"/>
                <w:sz w:val="20"/>
                <w:szCs w:val="20"/>
                <w:lang w:eastAsia="sl-SI"/>
              </w:rPr>
              <w:br/>
            </w:r>
          </w:p>
          <w:p w14:paraId="1014164E" w14:textId="77777777" w:rsidR="00364B80" w:rsidRPr="00364B80" w:rsidRDefault="00364B80" w:rsidP="00364B80">
            <w:pPr>
              <w:spacing w:after="0"/>
              <w:rPr>
                <w:rFonts w:ascii="Verdana" w:eastAsia="Verdana" w:hAnsi="Verdana" w:cs="Verdana"/>
                <w:sz w:val="20"/>
                <w:szCs w:val="20"/>
                <w:lang w:eastAsia="sl-SI"/>
              </w:rPr>
            </w:pPr>
          </w:p>
          <w:p w14:paraId="6DA85CB7" w14:textId="77777777" w:rsidR="00364B80" w:rsidRPr="00364B80" w:rsidRDefault="00364B80" w:rsidP="00364B80">
            <w:pPr>
              <w:spacing w:after="0"/>
              <w:rPr>
                <w:rFonts w:ascii="Verdana" w:eastAsia="Verdana" w:hAnsi="Verdana" w:cs="Verdana"/>
                <w:sz w:val="20"/>
                <w:szCs w:val="20"/>
                <w:lang w:eastAsia="sl-SI"/>
              </w:rPr>
            </w:pPr>
          </w:p>
          <w:p w14:paraId="6EF9C307" w14:textId="77777777" w:rsidR="00364B80" w:rsidRPr="00364B80" w:rsidRDefault="00364B80" w:rsidP="00364B80">
            <w:pPr>
              <w:spacing w:after="0"/>
              <w:rPr>
                <w:rFonts w:ascii="Verdana" w:eastAsia="Verdana" w:hAnsi="Verdana" w:cs="Verdana"/>
                <w:sz w:val="20"/>
                <w:szCs w:val="20"/>
                <w:lang w:eastAsia="sl-SI"/>
              </w:rPr>
            </w:pPr>
            <w:r w:rsidRPr="00364B80">
              <w:rPr>
                <w:rFonts w:ascii="Verdana" w:eastAsia="Verdana" w:hAnsi="Verdana" w:cs="Verdana"/>
                <w:sz w:val="20"/>
                <w:szCs w:val="20"/>
                <w:lang w:eastAsia="sl-SI"/>
              </w:rPr>
              <w:t>Julija Uršič</w:t>
            </w:r>
            <w:r w:rsidRPr="00364B80">
              <w:rPr>
                <w:rFonts w:ascii="Verdana" w:eastAsia="Verdana" w:hAnsi="Verdana" w:cs="Verdana"/>
                <w:sz w:val="20"/>
                <w:szCs w:val="20"/>
                <w:lang w:eastAsia="sl-SI"/>
              </w:rPr>
              <w:br/>
              <w:t>višja svetovalka področja II</w:t>
            </w:r>
            <w:r w:rsidRPr="00364B80">
              <w:rPr>
                <w:rFonts w:ascii="Verdana" w:eastAsia="Verdana" w:hAnsi="Verdana" w:cs="Verdana"/>
                <w:sz w:val="20"/>
                <w:szCs w:val="20"/>
                <w:lang w:eastAsia="sl-SI"/>
              </w:rPr>
              <w:br/>
            </w:r>
          </w:p>
          <w:p w14:paraId="7EBBC8C5" w14:textId="77777777" w:rsidR="00364B80" w:rsidRPr="00364B80" w:rsidRDefault="00364B80" w:rsidP="00364B80">
            <w:pPr>
              <w:spacing w:after="0"/>
              <w:rPr>
                <w:rFonts w:ascii="Verdana" w:eastAsia="Verdana" w:hAnsi="Verdana" w:cs="Verdana"/>
                <w:sz w:val="20"/>
                <w:szCs w:val="20"/>
                <w:lang w:eastAsia="sl-SI"/>
              </w:rPr>
            </w:pPr>
          </w:p>
          <w:p w14:paraId="051216B2" w14:textId="77777777" w:rsidR="00364B80" w:rsidRPr="00364B80" w:rsidRDefault="00364B80" w:rsidP="00364B80">
            <w:pPr>
              <w:spacing w:after="0"/>
              <w:rPr>
                <w:rFonts w:ascii="Verdana" w:eastAsia="Verdana" w:hAnsi="Verdana" w:cs="Verdana"/>
                <w:sz w:val="20"/>
                <w:szCs w:val="20"/>
                <w:lang w:eastAsia="sl-SI"/>
              </w:rPr>
            </w:pPr>
          </w:p>
          <w:p w14:paraId="21FD5826" w14:textId="77777777" w:rsidR="00364B80" w:rsidRPr="00364B80" w:rsidRDefault="00364B80" w:rsidP="00364B80">
            <w:pPr>
              <w:spacing w:after="0"/>
              <w:rPr>
                <w:rFonts w:ascii="Verdana" w:eastAsia="Verdana" w:hAnsi="Verdana" w:cs="Verdana"/>
                <w:sz w:val="20"/>
                <w:szCs w:val="20"/>
                <w:lang w:eastAsia="sl-SI"/>
              </w:rPr>
            </w:pPr>
          </w:p>
          <w:p w14:paraId="0F2B6719" w14:textId="77777777" w:rsidR="00364B80" w:rsidRPr="00364B80" w:rsidRDefault="00364B80" w:rsidP="00364B80">
            <w:pPr>
              <w:spacing w:after="0"/>
              <w:rPr>
                <w:rFonts w:ascii="Verdana" w:eastAsia="Verdana" w:hAnsi="Verdana" w:cs="Verdana"/>
                <w:sz w:val="20"/>
                <w:szCs w:val="20"/>
                <w:lang w:eastAsia="sl-SI"/>
              </w:rPr>
            </w:pPr>
            <w:r w:rsidRPr="00364B80">
              <w:rPr>
                <w:rFonts w:ascii="Verdana" w:eastAsia="Verdana" w:hAnsi="Verdana" w:cs="Verdana"/>
                <w:sz w:val="20"/>
                <w:szCs w:val="20"/>
                <w:lang w:eastAsia="sl-SI"/>
              </w:rPr>
              <w:t>Anita Kajtezovic</w:t>
            </w:r>
            <w:r w:rsidRPr="00364B80">
              <w:rPr>
                <w:rFonts w:ascii="Verdana" w:eastAsia="Verdana" w:hAnsi="Verdana" w:cs="Verdana"/>
                <w:sz w:val="20"/>
                <w:szCs w:val="20"/>
                <w:lang w:eastAsia="sl-SI"/>
              </w:rPr>
              <w:br/>
              <w:t>višja svetovalka področja I</w:t>
            </w:r>
          </w:p>
        </w:tc>
        <w:tc>
          <w:tcPr>
            <w:tcW w:w="2500" w:type="pct"/>
            <w:tcBorders>
              <w:top w:val="nil"/>
              <w:left w:val="nil"/>
              <w:bottom w:val="nil"/>
              <w:right w:val="nil"/>
            </w:tcBorders>
          </w:tcPr>
          <w:p w14:paraId="0F1EF3E4" w14:textId="77777777" w:rsidR="00364B80" w:rsidRPr="00364B80" w:rsidRDefault="00364B80" w:rsidP="00364B80">
            <w:pPr>
              <w:spacing w:after="0"/>
              <w:rPr>
                <w:rFonts w:ascii="Verdana" w:eastAsia="Verdana" w:hAnsi="Verdana" w:cs="Verdana"/>
                <w:sz w:val="20"/>
                <w:szCs w:val="20"/>
                <w:lang w:eastAsia="sl-SI"/>
              </w:rPr>
            </w:pPr>
            <w:r w:rsidRPr="00364B80">
              <w:rPr>
                <w:rFonts w:ascii="Verdana" w:eastAsia="Verdana" w:hAnsi="Verdana" w:cs="Verdana"/>
                <w:sz w:val="20"/>
                <w:szCs w:val="20"/>
                <w:lang w:eastAsia="sl-SI"/>
              </w:rPr>
              <w:t>Dr. Boris Dular</w:t>
            </w:r>
            <w:r w:rsidRPr="00364B80">
              <w:rPr>
                <w:rFonts w:ascii="Verdana" w:eastAsia="Verdana" w:hAnsi="Verdana" w:cs="Verdana"/>
                <w:sz w:val="20"/>
                <w:szCs w:val="20"/>
                <w:lang w:eastAsia="sl-SI"/>
              </w:rPr>
              <w:br/>
              <w:t>predsednik sveta</w:t>
            </w:r>
            <w:r w:rsidRPr="00364B80">
              <w:rPr>
                <w:rFonts w:ascii="Verdana" w:eastAsia="Verdana" w:hAnsi="Verdana" w:cs="Verdana"/>
                <w:sz w:val="20"/>
                <w:szCs w:val="20"/>
                <w:lang w:eastAsia="sl-SI"/>
              </w:rPr>
              <w:br/>
              <w:t>Nacionalne agencije Republike Slovenije za kakovost v visokem šolstvu</w:t>
            </w:r>
          </w:p>
        </w:tc>
      </w:tr>
    </w:tbl>
    <w:p w14:paraId="754B5891" w14:textId="77777777" w:rsidR="00364B80" w:rsidRPr="00364B80" w:rsidRDefault="00364B80" w:rsidP="00364B80">
      <w:pPr>
        <w:spacing w:after="0"/>
        <w:jc w:val="both"/>
        <w:rPr>
          <w:rFonts w:ascii="Verdana" w:eastAsia="Verdana" w:hAnsi="Verdana" w:cs="Verdana"/>
          <w:b/>
          <w:bCs/>
          <w:sz w:val="20"/>
          <w:szCs w:val="20"/>
          <w:lang w:eastAsia="sl-SI"/>
        </w:rPr>
      </w:pPr>
    </w:p>
    <w:p w14:paraId="6691A3D1" w14:textId="77777777" w:rsidR="00364B80" w:rsidRPr="00364B80" w:rsidRDefault="00364B80" w:rsidP="00364B80">
      <w:pPr>
        <w:spacing w:after="0"/>
        <w:jc w:val="both"/>
        <w:rPr>
          <w:rFonts w:ascii="Verdana" w:eastAsia="Verdana" w:hAnsi="Verdana" w:cs="Verdana"/>
          <w:b/>
          <w:bCs/>
          <w:sz w:val="20"/>
          <w:szCs w:val="20"/>
          <w:lang w:eastAsia="sl-SI"/>
        </w:rPr>
      </w:pPr>
    </w:p>
    <w:p w14:paraId="7C466D8D" w14:textId="77777777" w:rsidR="00364B80" w:rsidRPr="00364B80" w:rsidRDefault="00364B80" w:rsidP="00364B80">
      <w:pPr>
        <w:spacing w:after="0"/>
        <w:jc w:val="both"/>
        <w:rPr>
          <w:rFonts w:ascii="Verdana" w:eastAsia="Verdana" w:hAnsi="Verdana" w:cs="Verdana"/>
          <w:b/>
          <w:bCs/>
          <w:sz w:val="20"/>
          <w:szCs w:val="20"/>
          <w:lang w:eastAsia="sl-SI"/>
        </w:rPr>
      </w:pPr>
    </w:p>
    <w:p w14:paraId="34E5B841" w14:textId="77777777" w:rsidR="00364B80" w:rsidRPr="00364B80" w:rsidRDefault="00364B80" w:rsidP="00364B80">
      <w:pPr>
        <w:spacing w:after="0"/>
        <w:jc w:val="both"/>
        <w:rPr>
          <w:rFonts w:ascii="Verdana" w:eastAsia="Verdana" w:hAnsi="Verdana" w:cs="Verdana"/>
          <w:b/>
          <w:bCs/>
          <w:sz w:val="20"/>
          <w:szCs w:val="20"/>
          <w:lang w:eastAsia="sl-SI"/>
        </w:rPr>
      </w:pPr>
    </w:p>
    <w:p w14:paraId="6BDA5D2B" w14:textId="77777777" w:rsidR="00364B80" w:rsidRPr="00364B80" w:rsidRDefault="00364B80" w:rsidP="00364B80">
      <w:pPr>
        <w:spacing w:after="0"/>
        <w:jc w:val="both"/>
        <w:rPr>
          <w:rFonts w:ascii="Verdana" w:eastAsia="Verdana" w:hAnsi="Verdana" w:cs="Verdana"/>
          <w:b/>
          <w:bCs/>
          <w:sz w:val="20"/>
          <w:szCs w:val="20"/>
          <w:lang w:eastAsia="sl-SI"/>
        </w:rPr>
      </w:pPr>
    </w:p>
    <w:p w14:paraId="3335265E" w14:textId="77777777" w:rsidR="00364B80" w:rsidRPr="00364B80" w:rsidRDefault="00364B80" w:rsidP="00364B80">
      <w:pPr>
        <w:spacing w:after="0"/>
        <w:jc w:val="both"/>
        <w:rPr>
          <w:rFonts w:ascii="Verdana" w:eastAsia="Verdana" w:hAnsi="Verdana" w:cs="Verdana"/>
          <w:b/>
          <w:bCs/>
          <w:sz w:val="20"/>
          <w:szCs w:val="20"/>
          <w:lang w:eastAsia="sl-SI"/>
        </w:rPr>
      </w:pPr>
    </w:p>
    <w:p w14:paraId="190DC5C8" w14:textId="77777777" w:rsidR="00364B80" w:rsidRPr="00364B80" w:rsidRDefault="00364B80" w:rsidP="00364B80">
      <w:pPr>
        <w:spacing w:after="0"/>
        <w:jc w:val="both"/>
        <w:rPr>
          <w:rFonts w:ascii="Verdana" w:eastAsia="Verdana" w:hAnsi="Verdana" w:cs="Verdana"/>
          <w:b/>
          <w:bCs/>
          <w:sz w:val="20"/>
          <w:szCs w:val="20"/>
          <w:lang w:eastAsia="sl-SI"/>
        </w:rPr>
      </w:pPr>
    </w:p>
    <w:p w14:paraId="6F1BD27F" w14:textId="77777777" w:rsidR="00364B80" w:rsidRPr="00364B80" w:rsidRDefault="00364B80" w:rsidP="00364B80">
      <w:pPr>
        <w:spacing w:after="0"/>
        <w:jc w:val="both"/>
        <w:rPr>
          <w:rFonts w:ascii="Verdana" w:eastAsia="Verdana" w:hAnsi="Verdana" w:cs="Verdana"/>
          <w:b/>
          <w:bCs/>
          <w:sz w:val="20"/>
          <w:szCs w:val="20"/>
          <w:lang w:eastAsia="sl-SI"/>
        </w:rPr>
      </w:pPr>
    </w:p>
    <w:p w14:paraId="19673605" w14:textId="77777777" w:rsidR="00364B80" w:rsidRPr="00364B80" w:rsidRDefault="00364B80" w:rsidP="00364B80">
      <w:pPr>
        <w:spacing w:after="0"/>
        <w:jc w:val="both"/>
        <w:rPr>
          <w:rFonts w:ascii="Verdana" w:eastAsia="Verdana" w:hAnsi="Verdana" w:cs="Verdana"/>
          <w:b/>
          <w:bCs/>
          <w:sz w:val="20"/>
          <w:szCs w:val="20"/>
          <w:lang w:eastAsia="sl-SI"/>
        </w:rPr>
      </w:pPr>
    </w:p>
    <w:p w14:paraId="2790163D" w14:textId="77777777" w:rsidR="00364B80" w:rsidRPr="00364B80" w:rsidRDefault="00364B80" w:rsidP="00364B80">
      <w:pPr>
        <w:spacing w:after="0"/>
        <w:jc w:val="both"/>
        <w:rPr>
          <w:rFonts w:ascii="Verdana" w:eastAsia="Verdana" w:hAnsi="Verdana" w:cs="Verdana"/>
          <w:b/>
          <w:bCs/>
          <w:sz w:val="20"/>
          <w:szCs w:val="20"/>
          <w:lang w:eastAsia="sl-SI"/>
        </w:rPr>
      </w:pPr>
    </w:p>
    <w:p w14:paraId="5DB1F362" w14:textId="77777777" w:rsidR="00364B80" w:rsidRPr="00364B80" w:rsidRDefault="00364B80" w:rsidP="00364B80">
      <w:pPr>
        <w:spacing w:after="0"/>
        <w:jc w:val="both"/>
        <w:rPr>
          <w:rFonts w:ascii="Verdana" w:eastAsia="Verdana" w:hAnsi="Verdana" w:cs="Verdana"/>
          <w:b/>
          <w:bCs/>
          <w:sz w:val="20"/>
          <w:szCs w:val="20"/>
          <w:lang w:eastAsia="sl-SI"/>
        </w:rPr>
      </w:pPr>
    </w:p>
    <w:p w14:paraId="0ED2CC8C" w14:textId="77777777" w:rsidR="00364B80" w:rsidRPr="00364B80" w:rsidRDefault="00364B80" w:rsidP="00364B80">
      <w:pPr>
        <w:spacing w:after="0"/>
        <w:jc w:val="both"/>
        <w:rPr>
          <w:rFonts w:ascii="Verdana" w:eastAsia="Verdana" w:hAnsi="Verdana" w:cs="Verdana"/>
          <w:b/>
          <w:bCs/>
          <w:sz w:val="20"/>
          <w:szCs w:val="20"/>
          <w:lang w:eastAsia="sl-SI"/>
        </w:rPr>
      </w:pPr>
    </w:p>
    <w:p w14:paraId="47FDD773" w14:textId="77777777" w:rsidR="00364B80" w:rsidRPr="00364B80" w:rsidRDefault="00364B80" w:rsidP="00364B80">
      <w:pPr>
        <w:spacing w:after="0"/>
        <w:jc w:val="both"/>
        <w:rPr>
          <w:rFonts w:ascii="Verdana" w:eastAsia="Verdana" w:hAnsi="Verdana" w:cs="Verdana"/>
          <w:b/>
          <w:bCs/>
          <w:sz w:val="20"/>
          <w:szCs w:val="20"/>
          <w:lang w:eastAsia="sl-SI"/>
        </w:rPr>
      </w:pPr>
    </w:p>
    <w:p w14:paraId="703F2048" w14:textId="77777777" w:rsidR="00364B80" w:rsidRPr="00364B80" w:rsidRDefault="00364B80" w:rsidP="00364B80">
      <w:pPr>
        <w:spacing w:after="0"/>
        <w:jc w:val="both"/>
        <w:rPr>
          <w:rFonts w:ascii="Verdana" w:eastAsia="Verdana" w:hAnsi="Verdana" w:cs="Verdana"/>
          <w:b/>
          <w:bCs/>
          <w:sz w:val="20"/>
          <w:szCs w:val="20"/>
          <w:lang w:eastAsia="sl-SI"/>
        </w:rPr>
      </w:pPr>
    </w:p>
    <w:p w14:paraId="40C64B43" w14:textId="77777777" w:rsidR="00364B80" w:rsidRPr="00364B80" w:rsidRDefault="00364B80" w:rsidP="00364B80">
      <w:pPr>
        <w:spacing w:after="0"/>
        <w:jc w:val="both"/>
        <w:rPr>
          <w:rFonts w:ascii="Verdana" w:eastAsia="Verdana" w:hAnsi="Verdana" w:cs="Verdana"/>
          <w:b/>
          <w:bCs/>
          <w:sz w:val="20"/>
          <w:szCs w:val="20"/>
          <w:lang w:eastAsia="sl-SI"/>
        </w:rPr>
      </w:pPr>
    </w:p>
    <w:p w14:paraId="124232C4" w14:textId="07BC9964" w:rsidR="00364B80" w:rsidRPr="00364B80" w:rsidRDefault="00364B80" w:rsidP="00364B80">
      <w:pPr>
        <w:spacing w:after="0"/>
        <w:jc w:val="both"/>
        <w:rPr>
          <w:rFonts w:ascii="Verdana" w:eastAsia="Verdana" w:hAnsi="Verdana" w:cs="Verdana"/>
          <w:sz w:val="20"/>
          <w:szCs w:val="20"/>
          <w:lang w:eastAsia="sl-SI"/>
        </w:rPr>
      </w:pPr>
      <w:r w:rsidRPr="00364B80">
        <w:rPr>
          <w:rFonts w:ascii="Verdana" w:eastAsia="Verdana" w:hAnsi="Verdana" w:cs="Verdana"/>
          <w:b/>
          <w:bCs/>
          <w:sz w:val="20"/>
          <w:szCs w:val="20"/>
          <w:lang w:eastAsia="sl-SI"/>
        </w:rPr>
        <w:br/>
        <w:t>Vročiti:</w:t>
      </w:r>
      <w:r w:rsidRPr="00364B80">
        <w:rPr>
          <w:rFonts w:ascii="Verdana" w:eastAsia="Verdana" w:hAnsi="Verdana" w:cs="Verdana"/>
          <w:sz w:val="20"/>
          <w:szCs w:val="20"/>
          <w:lang w:eastAsia="sl-SI"/>
        </w:rPr>
        <w:br/>
        <w:t>- Univerza v Novi Gorici, Vipavska cesta 13, 5000 Nova Gorica</w:t>
      </w:r>
      <w:r w:rsidR="00336EF9">
        <w:rPr>
          <w:rFonts w:ascii="Verdana" w:eastAsia="Verdana" w:hAnsi="Verdana" w:cs="Verdana"/>
          <w:sz w:val="20"/>
          <w:szCs w:val="20"/>
          <w:lang w:eastAsia="sl-SI"/>
        </w:rPr>
        <w:t xml:space="preserve"> – osebno</w:t>
      </w:r>
    </w:p>
    <w:p w14:paraId="20E52CE2" w14:textId="43226140" w:rsidR="00F52B8D" w:rsidRPr="001740AB" w:rsidRDefault="00F52B8D" w:rsidP="00277516">
      <w:pPr>
        <w:spacing w:after="80"/>
        <w:ind w:right="22"/>
        <w:rPr>
          <w:rFonts w:ascii="Verdana" w:eastAsia="Times New Roman" w:hAnsi="Verdana" w:cs="Helv"/>
          <w:b/>
          <w:bCs/>
          <w:color w:val="000000"/>
          <w:sz w:val="20"/>
          <w:szCs w:val="20"/>
          <w:lang w:eastAsia="sl-SI"/>
        </w:rPr>
      </w:pPr>
    </w:p>
    <w:sectPr w:rsidR="00F52B8D" w:rsidRPr="001740AB" w:rsidSect="00BF5D0C">
      <w:headerReference w:type="default" r:id="rId8"/>
      <w:footerReference w:type="default" r:id="rId9"/>
      <w:pgSz w:w="11906" w:h="16838" w:code="9"/>
      <w:pgMar w:top="567" w:right="1106" w:bottom="284" w:left="1418" w:header="360"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61BBD" w14:textId="77777777" w:rsidR="002B0CB7" w:rsidRDefault="002B0CB7">
      <w:r>
        <w:separator/>
      </w:r>
    </w:p>
  </w:endnote>
  <w:endnote w:type="continuationSeparator" w:id="0">
    <w:p w14:paraId="7AB046E8" w14:textId="77777777" w:rsidR="002B0CB7" w:rsidRDefault="002B0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tineau_CE">
    <w:altName w:val="Times New Roman"/>
    <w:panose1 w:val="00000000000000000000"/>
    <w:charset w:val="EE"/>
    <w:family w:val="roman"/>
    <w:notTrueType/>
    <w:pitch w:val="variable"/>
    <w:sig w:usb0="00000005" w:usb1="00000000" w:usb2="00000000" w:usb3="00000000" w:csb0="00000002"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18E0" w14:textId="77777777" w:rsidR="00A02850" w:rsidRPr="00225C05" w:rsidRDefault="00A02850" w:rsidP="00225C05">
    <w:pPr>
      <w:pStyle w:val="Noga"/>
      <w:spacing w:after="0"/>
      <w:ind w:right="357"/>
      <w:rPr>
        <w:rFonts w:ascii="Verdana" w:hAnsi="Verdana"/>
        <w:sz w:val="20"/>
        <w:szCs w:val="20"/>
      </w:rPr>
    </w:pPr>
  </w:p>
  <w:p w14:paraId="2833F91B" w14:textId="5FEFD2FA" w:rsidR="00A02850" w:rsidRPr="00225C05" w:rsidRDefault="007641D4" w:rsidP="00A45013">
    <w:pPr>
      <w:pStyle w:val="Noga"/>
      <w:ind w:right="357"/>
      <w:rPr>
        <w:rFonts w:ascii="Verdana" w:hAnsi="Verdana"/>
        <w:sz w:val="20"/>
        <w:szCs w:val="20"/>
      </w:rPr>
    </w:pPr>
    <w:bookmarkStart w:id="3" w:name="_Hlk95477326"/>
    <w:r w:rsidRPr="00EB4355">
      <w:rPr>
        <w:rFonts w:ascii="Verdana" w:hAnsi="Verdana"/>
        <w:noProof/>
        <w:sz w:val="20"/>
        <w:szCs w:val="20"/>
      </w:rPr>
      <w:drawing>
        <wp:inline distT="0" distB="0" distL="0" distR="0" wp14:anchorId="5BDCA579" wp14:editId="30A16EBE">
          <wp:extent cx="5957570" cy="367665"/>
          <wp:effectExtent l="0" t="0" r="508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1">
                    <a:extLst>
                      <a:ext uri="{28A0092B-C50C-407E-A947-70E740481C1C}">
                        <a14:useLocalDpi xmlns:a14="http://schemas.microsoft.com/office/drawing/2010/main" val="0"/>
                      </a:ext>
                    </a:extLst>
                  </a:blip>
                  <a:srcRect t="16949" b="16949"/>
                  <a:stretch>
                    <a:fillRect/>
                  </a:stretch>
                </pic:blipFill>
                <pic:spPr bwMode="auto">
                  <a:xfrm>
                    <a:off x="0" y="0"/>
                    <a:ext cx="5957570" cy="367665"/>
                  </a:xfrm>
                  <a:prstGeom prst="rect">
                    <a:avLst/>
                  </a:prstGeom>
                  <a:noFill/>
                  <a:ln>
                    <a:noFill/>
                  </a:ln>
                </pic:spPr>
              </pic:pic>
            </a:graphicData>
          </a:graphic>
        </wp:inline>
      </w:drawing>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9D0E6" w14:textId="77777777" w:rsidR="002B0CB7" w:rsidRDefault="002B0CB7">
      <w:r>
        <w:separator/>
      </w:r>
    </w:p>
  </w:footnote>
  <w:footnote w:type="continuationSeparator" w:id="0">
    <w:p w14:paraId="3A6DBEFC" w14:textId="77777777" w:rsidR="002B0CB7" w:rsidRDefault="002B0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CD5C" w14:textId="5D871864" w:rsidR="00A02850" w:rsidRPr="003D77E7" w:rsidRDefault="00FD412A">
    <w:pPr>
      <w:pStyle w:val="Glava"/>
      <w:rPr>
        <w:rFonts w:ascii="Verdana" w:hAnsi="Verdana"/>
        <w:sz w:val="20"/>
        <w:szCs w:val="20"/>
      </w:rPr>
    </w:pPr>
    <w:r>
      <w:rPr>
        <w:noProof/>
      </w:rPr>
      <w:drawing>
        <wp:inline distT="0" distB="0" distL="0" distR="0" wp14:anchorId="22BF9E94" wp14:editId="2C335CF9">
          <wp:extent cx="2082800" cy="1321435"/>
          <wp:effectExtent l="0" t="0" r="0" b="0"/>
          <wp:docPr id="862709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66547"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2800" cy="1321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2084"/>
    <w:multiLevelType w:val="hybridMultilevel"/>
    <w:tmpl w:val="C44629C2"/>
    <w:lvl w:ilvl="0" w:tplc="498CF2D6">
      <w:start w:val="2"/>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A01C93"/>
    <w:multiLevelType w:val="hybridMultilevel"/>
    <w:tmpl w:val="914A4EBE"/>
    <w:lvl w:ilvl="0" w:tplc="4B9C0E44">
      <w:start w:val="1"/>
      <w:numFmt w:val="bullet"/>
      <w:lvlText w:val="-"/>
      <w:lvlJc w:val="left"/>
      <w:pPr>
        <w:ind w:left="720" w:hanging="360"/>
      </w:pPr>
      <w:rPr>
        <w:rFonts w:ascii="Verdana" w:eastAsia="Cambria" w:hAnsi="Verdana"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A25DD2"/>
    <w:multiLevelType w:val="hybridMultilevel"/>
    <w:tmpl w:val="26722E2A"/>
    <w:lvl w:ilvl="0" w:tplc="6390EE9C">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8AF4FB8"/>
    <w:multiLevelType w:val="hybridMultilevel"/>
    <w:tmpl w:val="4266CE90"/>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4" w15:restartNumberingAfterBreak="0">
    <w:nsid w:val="0C566290"/>
    <w:multiLevelType w:val="hybridMultilevel"/>
    <w:tmpl w:val="DB20FBD2"/>
    <w:lvl w:ilvl="0" w:tplc="15A4ACBA">
      <w:start w:val="2"/>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721C20"/>
    <w:multiLevelType w:val="hybridMultilevel"/>
    <w:tmpl w:val="69FEB29A"/>
    <w:lvl w:ilvl="0" w:tplc="E0F6C0CA">
      <w:start w:val="1"/>
      <w:numFmt w:val="bullet"/>
      <w:lvlText w:val=""/>
      <w:lvlJc w:val="left"/>
      <w:pPr>
        <w:ind w:left="720" w:hanging="360"/>
      </w:pPr>
      <w:rPr>
        <w:rFonts w:ascii="Symbol"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DF074DD"/>
    <w:multiLevelType w:val="hybridMultilevel"/>
    <w:tmpl w:val="9B6054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1D842C8"/>
    <w:multiLevelType w:val="hybridMultilevel"/>
    <w:tmpl w:val="58508C46"/>
    <w:lvl w:ilvl="0" w:tplc="04240015">
      <w:start w:val="1"/>
      <w:numFmt w:val="upp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4523ED3"/>
    <w:multiLevelType w:val="hybridMultilevel"/>
    <w:tmpl w:val="AC52300E"/>
    <w:lvl w:ilvl="0" w:tplc="E6D40262">
      <w:start w:val="2"/>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482038B"/>
    <w:multiLevelType w:val="hybridMultilevel"/>
    <w:tmpl w:val="9C806F10"/>
    <w:lvl w:ilvl="0" w:tplc="5E8A727C">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AA723B5"/>
    <w:multiLevelType w:val="hybridMultilevel"/>
    <w:tmpl w:val="E79C0714"/>
    <w:lvl w:ilvl="0" w:tplc="EED6521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B070AA1"/>
    <w:multiLevelType w:val="hybridMultilevel"/>
    <w:tmpl w:val="21E47426"/>
    <w:lvl w:ilvl="0" w:tplc="DED2D4FA">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CD36F35"/>
    <w:multiLevelType w:val="hybridMultilevel"/>
    <w:tmpl w:val="2D56CA9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C4552B"/>
    <w:multiLevelType w:val="multilevel"/>
    <w:tmpl w:val="416C2270"/>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2AED0689"/>
    <w:multiLevelType w:val="hybridMultilevel"/>
    <w:tmpl w:val="D09476A2"/>
    <w:lvl w:ilvl="0" w:tplc="A64409EA">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FE7B1F"/>
    <w:multiLevelType w:val="hybridMultilevel"/>
    <w:tmpl w:val="60864C9E"/>
    <w:lvl w:ilvl="0" w:tplc="16B6ABE0">
      <w:start w:val="2"/>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B2266E2"/>
    <w:multiLevelType w:val="hybridMultilevel"/>
    <w:tmpl w:val="701ECFF0"/>
    <w:lvl w:ilvl="0" w:tplc="62D8574C">
      <w:start w:val="2"/>
      <w:numFmt w:val="bullet"/>
      <w:lvlText w:val="—"/>
      <w:lvlJc w:val="left"/>
      <w:pPr>
        <w:tabs>
          <w:tab w:val="num" w:pos="720"/>
        </w:tabs>
        <w:ind w:left="720" w:hanging="360"/>
      </w:pPr>
      <w:rPr>
        <w:rFonts w:ascii="Calibri" w:eastAsia="Calibri" w:hAnsi="Calibri"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E27167"/>
    <w:multiLevelType w:val="hybridMultilevel"/>
    <w:tmpl w:val="4C885F92"/>
    <w:lvl w:ilvl="0" w:tplc="FA227718">
      <w:start w:val="2"/>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A869CD"/>
    <w:multiLevelType w:val="hybridMultilevel"/>
    <w:tmpl w:val="8842E8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CC9290D"/>
    <w:multiLevelType w:val="hybridMultilevel"/>
    <w:tmpl w:val="3AA05F44"/>
    <w:lvl w:ilvl="0" w:tplc="4D868318">
      <w:start w:val="24"/>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3CF12403"/>
    <w:multiLevelType w:val="hybridMultilevel"/>
    <w:tmpl w:val="B63CD4B0"/>
    <w:lvl w:ilvl="0" w:tplc="95D6B552">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14E0D51"/>
    <w:multiLevelType w:val="hybridMultilevel"/>
    <w:tmpl w:val="1BEED916"/>
    <w:lvl w:ilvl="0" w:tplc="3258CB18">
      <w:start w:val="1"/>
      <w:numFmt w:val="bullet"/>
      <w:lvlText w:val="-"/>
      <w:lvlJc w:val="left"/>
      <w:pPr>
        <w:ind w:left="360" w:hanging="360"/>
      </w:pPr>
      <w:rPr>
        <w:rFonts w:ascii="Verdana" w:hAnsi="Verdana"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CA090F"/>
    <w:multiLevelType w:val="hybridMultilevel"/>
    <w:tmpl w:val="A0DCAE50"/>
    <w:lvl w:ilvl="0" w:tplc="42D439AA">
      <w:start w:val="2"/>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4F64797"/>
    <w:multiLevelType w:val="hybridMultilevel"/>
    <w:tmpl w:val="4B4AD908"/>
    <w:lvl w:ilvl="0" w:tplc="2F4E30E0">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55F127D"/>
    <w:multiLevelType w:val="hybridMultilevel"/>
    <w:tmpl w:val="2CDA1954"/>
    <w:lvl w:ilvl="0" w:tplc="4D868318">
      <w:start w:val="18"/>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4E0D201D"/>
    <w:multiLevelType w:val="hybridMultilevel"/>
    <w:tmpl w:val="B8AE6D60"/>
    <w:lvl w:ilvl="0" w:tplc="187245D0">
      <w:start w:val="2"/>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636CC7"/>
    <w:multiLevelType w:val="hybridMultilevel"/>
    <w:tmpl w:val="CD0266D8"/>
    <w:lvl w:ilvl="0" w:tplc="6AE67B7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213B6E"/>
    <w:multiLevelType w:val="hybridMultilevel"/>
    <w:tmpl w:val="96EEA4CC"/>
    <w:lvl w:ilvl="0" w:tplc="D212B27A">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12C5C3A"/>
    <w:multiLevelType w:val="hybridMultilevel"/>
    <w:tmpl w:val="903CEF9C"/>
    <w:lvl w:ilvl="0" w:tplc="4D868318">
      <w:start w:val="1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53076C4C"/>
    <w:multiLevelType w:val="hybridMultilevel"/>
    <w:tmpl w:val="BC3032D8"/>
    <w:lvl w:ilvl="0" w:tplc="32B0D804">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5F55BE6"/>
    <w:multiLevelType w:val="hybridMultilevel"/>
    <w:tmpl w:val="DEB8D570"/>
    <w:lvl w:ilvl="0" w:tplc="FFFFFFFF">
      <w:numFmt w:val="bullet"/>
      <w:lvlText w:val="–"/>
      <w:lvlJc w:val="left"/>
      <w:pPr>
        <w:ind w:left="360" w:hanging="360"/>
      </w:pPr>
      <w:rPr>
        <w:rFonts w:ascii="Verdana" w:eastAsia="Verdana" w:hAnsi="Verdana" w:cs="Verdana" w:hint="default"/>
      </w:rPr>
    </w:lvl>
    <w:lvl w:ilvl="1" w:tplc="0424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7412EE0"/>
    <w:multiLevelType w:val="hybridMultilevel"/>
    <w:tmpl w:val="77742A6A"/>
    <w:lvl w:ilvl="0" w:tplc="71D6996E">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8266D88"/>
    <w:multiLevelType w:val="hybridMultilevel"/>
    <w:tmpl w:val="4CDE3938"/>
    <w:lvl w:ilvl="0" w:tplc="4D868318">
      <w:start w:val="3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60AE3D4A"/>
    <w:multiLevelType w:val="hybridMultilevel"/>
    <w:tmpl w:val="01AECE9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18D17C5"/>
    <w:multiLevelType w:val="hybridMultilevel"/>
    <w:tmpl w:val="BB8A2BF4"/>
    <w:lvl w:ilvl="0" w:tplc="DAB4BC06">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3685498"/>
    <w:multiLevelType w:val="hybridMultilevel"/>
    <w:tmpl w:val="12C6B73C"/>
    <w:lvl w:ilvl="0" w:tplc="727EA7FC">
      <w:numFmt w:val="bullet"/>
      <w:lvlText w:val="-"/>
      <w:lvlJc w:val="left"/>
      <w:pPr>
        <w:ind w:left="720" w:hanging="360"/>
      </w:pPr>
      <w:rPr>
        <w:rFonts w:ascii="Verdana" w:eastAsia="Cambria" w:hAnsi="Verdana" w:cs="Times New Roman" w:hint="default"/>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40433F4"/>
    <w:multiLevelType w:val="hybridMultilevel"/>
    <w:tmpl w:val="D9763D10"/>
    <w:lvl w:ilvl="0" w:tplc="AF8ABD0A">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9231F38"/>
    <w:multiLevelType w:val="hybridMultilevel"/>
    <w:tmpl w:val="E3AA97F6"/>
    <w:lvl w:ilvl="0" w:tplc="1C5418E2">
      <w:numFmt w:val="bullet"/>
      <w:lvlText w:val="–"/>
      <w:lvlJc w:val="left"/>
      <w:pPr>
        <w:ind w:left="360" w:hanging="360"/>
      </w:pPr>
      <w:rPr>
        <w:rFonts w:ascii="Verdana" w:eastAsia="Verdana" w:hAnsi="Verdana" w:cs="Verdana"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6B5E3A36"/>
    <w:multiLevelType w:val="hybridMultilevel"/>
    <w:tmpl w:val="D3641BFC"/>
    <w:lvl w:ilvl="0" w:tplc="6AE67B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B847C5D"/>
    <w:multiLevelType w:val="hybridMultilevel"/>
    <w:tmpl w:val="0DAA6F22"/>
    <w:lvl w:ilvl="0" w:tplc="E2686206">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E935611"/>
    <w:multiLevelType w:val="hybridMultilevel"/>
    <w:tmpl w:val="42C03302"/>
    <w:lvl w:ilvl="0" w:tplc="8B32929E">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F5A1CEB"/>
    <w:multiLevelType w:val="hybridMultilevel"/>
    <w:tmpl w:val="6ED6A30A"/>
    <w:lvl w:ilvl="0" w:tplc="909660F0">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45D6CF5"/>
    <w:multiLevelType w:val="hybridMultilevel"/>
    <w:tmpl w:val="16901AD6"/>
    <w:lvl w:ilvl="0" w:tplc="E8E67580">
      <w:start w:val="2"/>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B170708"/>
    <w:multiLevelType w:val="hybridMultilevel"/>
    <w:tmpl w:val="9D02CE2A"/>
    <w:lvl w:ilvl="0" w:tplc="20F84020">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C01171D"/>
    <w:multiLevelType w:val="hybridMultilevel"/>
    <w:tmpl w:val="960CC854"/>
    <w:lvl w:ilvl="0" w:tplc="AC90B44E">
      <w:start w:val="2000"/>
      <w:numFmt w:val="bullet"/>
      <w:lvlText w:val="-"/>
      <w:lvlJc w:val="left"/>
      <w:pPr>
        <w:ind w:left="720" w:hanging="360"/>
      </w:pPr>
      <w:rPr>
        <w:rFonts w:ascii="Verdana" w:eastAsia="Cambria"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8216031">
    <w:abstractNumId w:val="18"/>
  </w:num>
  <w:num w:numId="2" w16cid:durableId="1453204948">
    <w:abstractNumId w:val="12"/>
  </w:num>
  <w:num w:numId="3" w16cid:durableId="1993173997">
    <w:abstractNumId w:val="28"/>
  </w:num>
  <w:num w:numId="4" w16cid:durableId="310134957">
    <w:abstractNumId w:val="24"/>
  </w:num>
  <w:num w:numId="5" w16cid:durableId="670253895">
    <w:abstractNumId w:val="19"/>
  </w:num>
  <w:num w:numId="6" w16cid:durableId="773599844">
    <w:abstractNumId w:val="32"/>
  </w:num>
  <w:num w:numId="7" w16cid:durableId="1570991994">
    <w:abstractNumId w:val="26"/>
  </w:num>
  <w:num w:numId="8" w16cid:durableId="1265841133">
    <w:abstractNumId w:val="3"/>
  </w:num>
  <w:num w:numId="9" w16cid:durableId="2002536267">
    <w:abstractNumId w:val="38"/>
  </w:num>
  <w:num w:numId="10" w16cid:durableId="937103694">
    <w:abstractNumId w:val="43"/>
  </w:num>
  <w:num w:numId="11" w16cid:durableId="254168007">
    <w:abstractNumId w:val="2"/>
  </w:num>
  <w:num w:numId="12" w16cid:durableId="1845238915">
    <w:abstractNumId w:val="16"/>
  </w:num>
  <w:num w:numId="13" w16cid:durableId="616713532">
    <w:abstractNumId w:val="1"/>
  </w:num>
  <w:num w:numId="14" w16cid:durableId="1400053828">
    <w:abstractNumId w:val="1"/>
  </w:num>
  <w:num w:numId="15" w16cid:durableId="1047071112">
    <w:abstractNumId w:val="10"/>
  </w:num>
  <w:num w:numId="16" w16cid:durableId="1787656758">
    <w:abstractNumId w:val="6"/>
  </w:num>
  <w:num w:numId="17" w16cid:durableId="260650503">
    <w:abstractNumId w:val="27"/>
  </w:num>
  <w:num w:numId="18" w16cid:durableId="379550511">
    <w:abstractNumId w:val="20"/>
  </w:num>
  <w:num w:numId="19" w16cid:durableId="43019797">
    <w:abstractNumId w:val="44"/>
  </w:num>
  <w:num w:numId="20" w16cid:durableId="1388531943">
    <w:abstractNumId w:val="31"/>
  </w:num>
  <w:num w:numId="21" w16cid:durableId="1497184212">
    <w:abstractNumId w:val="14"/>
  </w:num>
  <w:num w:numId="22" w16cid:durableId="755175235">
    <w:abstractNumId w:val="39"/>
  </w:num>
  <w:num w:numId="23" w16cid:durableId="130368603">
    <w:abstractNumId w:val="29"/>
  </w:num>
  <w:num w:numId="24" w16cid:durableId="1109928217">
    <w:abstractNumId w:val="41"/>
  </w:num>
  <w:num w:numId="25" w16cid:durableId="47460685">
    <w:abstractNumId w:val="9"/>
  </w:num>
  <w:num w:numId="26" w16cid:durableId="1126390914">
    <w:abstractNumId w:val="35"/>
  </w:num>
  <w:num w:numId="27" w16cid:durableId="1353844024">
    <w:abstractNumId w:val="11"/>
  </w:num>
  <w:num w:numId="28" w16cid:durableId="188836671">
    <w:abstractNumId w:val="23"/>
  </w:num>
  <w:num w:numId="29" w16cid:durableId="1046874866">
    <w:abstractNumId w:val="36"/>
  </w:num>
  <w:num w:numId="30" w16cid:durableId="348412427">
    <w:abstractNumId w:val="40"/>
  </w:num>
  <w:num w:numId="31" w16cid:durableId="2126919292">
    <w:abstractNumId w:val="34"/>
  </w:num>
  <w:num w:numId="32" w16cid:durableId="817065616">
    <w:abstractNumId w:val="4"/>
  </w:num>
  <w:num w:numId="33" w16cid:durableId="733235448">
    <w:abstractNumId w:val="22"/>
  </w:num>
  <w:num w:numId="34" w16cid:durableId="1684820340">
    <w:abstractNumId w:val="42"/>
  </w:num>
  <w:num w:numId="35" w16cid:durableId="374697738">
    <w:abstractNumId w:val="15"/>
  </w:num>
  <w:num w:numId="36" w16cid:durableId="1959674295">
    <w:abstractNumId w:val="8"/>
  </w:num>
  <w:num w:numId="37" w16cid:durableId="1359966521">
    <w:abstractNumId w:val="17"/>
  </w:num>
  <w:num w:numId="38" w16cid:durableId="1205672901">
    <w:abstractNumId w:val="25"/>
  </w:num>
  <w:num w:numId="39" w16cid:durableId="857351849">
    <w:abstractNumId w:val="0"/>
  </w:num>
  <w:num w:numId="40" w16cid:durableId="1058556990">
    <w:abstractNumId w:val="33"/>
  </w:num>
  <w:num w:numId="41" w16cid:durableId="471874040">
    <w:abstractNumId w:val="21"/>
  </w:num>
  <w:num w:numId="42" w16cid:durableId="2017805928">
    <w:abstractNumId w:val="5"/>
  </w:num>
  <w:num w:numId="43" w16cid:durableId="1988895153">
    <w:abstractNumId w:val="7"/>
  </w:num>
  <w:num w:numId="44" w16cid:durableId="35469471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47791857">
    <w:abstractNumId w:val="37"/>
  </w:num>
  <w:num w:numId="46" w16cid:durableId="129571331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FCF"/>
    <w:rsid w:val="00000716"/>
    <w:rsid w:val="000041C2"/>
    <w:rsid w:val="00014B5D"/>
    <w:rsid w:val="00021AD6"/>
    <w:rsid w:val="00032DA4"/>
    <w:rsid w:val="00037337"/>
    <w:rsid w:val="00051ED8"/>
    <w:rsid w:val="000577D0"/>
    <w:rsid w:val="00061CED"/>
    <w:rsid w:val="00067DED"/>
    <w:rsid w:val="00070B2B"/>
    <w:rsid w:val="00073C93"/>
    <w:rsid w:val="0007629D"/>
    <w:rsid w:val="00077171"/>
    <w:rsid w:val="00080343"/>
    <w:rsid w:val="00080ECE"/>
    <w:rsid w:val="00086708"/>
    <w:rsid w:val="000869C7"/>
    <w:rsid w:val="000A4609"/>
    <w:rsid w:val="000B25DE"/>
    <w:rsid w:val="000D3256"/>
    <w:rsid w:val="000F7049"/>
    <w:rsid w:val="00110A38"/>
    <w:rsid w:val="00122305"/>
    <w:rsid w:val="0012376D"/>
    <w:rsid w:val="00134B99"/>
    <w:rsid w:val="00136600"/>
    <w:rsid w:val="00152655"/>
    <w:rsid w:val="00153E93"/>
    <w:rsid w:val="00155CBF"/>
    <w:rsid w:val="0016375A"/>
    <w:rsid w:val="001740AB"/>
    <w:rsid w:val="001A3D17"/>
    <w:rsid w:val="001A54E9"/>
    <w:rsid w:val="001B0BC2"/>
    <w:rsid w:val="001B545B"/>
    <w:rsid w:val="001D5389"/>
    <w:rsid w:val="00206485"/>
    <w:rsid w:val="00210FD4"/>
    <w:rsid w:val="00216D8D"/>
    <w:rsid w:val="00222F90"/>
    <w:rsid w:val="00223A96"/>
    <w:rsid w:val="00225C05"/>
    <w:rsid w:val="00235CDB"/>
    <w:rsid w:val="00247EA3"/>
    <w:rsid w:val="00251A53"/>
    <w:rsid w:val="002534B9"/>
    <w:rsid w:val="00256006"/>
    <w:rsid w:val="002652FF"/>
    <w:rsid w:val="0027103D"/>
    <w:rsid w:val="00277516"/>
    <w:rsid w:val="00281A77"/>
    <w:rsid w:val="0028364F"/>
    <w:rsid w:val="00285EA0"/>
    <w:rsid w:val="002A048D"/>
    <w:rsid w:val="002A1D28"/>
    <w:rsid w:val="002A38D3"/>
    <w:rsid w:val="002A7582"/>
    <w:rsid w:val="002B0CB7"/>
    <w:rsid w:val="002B2F72"/>
    <w:rsid w:val="002B4F00"/>
    <w:rsid w:val="002B7B50"/>
    <w:rsid w:val="002C3163"/>
    <w:rsid w:val="002E135D"/>
    <w:rsid w:val="002E582F"/>
    <w:rsid w:val="002E733D"/>
    <w:rsid w:val="002F2D83"/>
    <w:rsid w:val="002F3159"/>
    <w:rsid w:val="002F7E27"/>
    <w:rsid w:val="00302C49"/>
    <w:rsid w:val="003039F8"/>
    <w:rsid w:val="00304EA7"/>
    <w:rsid w:val="00312223"/>
    <w:rsid w:val="0031563A"/>
    <w:rsid w:val="0032312F"/>
    <w:rsid w:val="00323232"/>
    <w:rsid w:val="003232B5"/>
    <w:rsid w:val="00336C63"/>
    <w:rsid w:val="00336EF9"/>
    <w:rsid w:val="00340AE4"/>
    <w:rsid w:val="00352566"/>
    <w:rsid w:val="00362D06"/>
    <w:rsid w:val="00364B80"/>
    <w:rsid w:val="003658B4"/>
    <w:rsid w:val="00373273"/>
    <w:rsid w:val="00374A4C"/>
    <w:rsid w:val="00377F0E"/>
    <w:rsid w:val="00386624"/>
    <w:rsid w:val="003A6615"/>
    <w:rsid w:val="003B3AE3"/>
    <w:rsid w:val="003B5423"/>
    <w:rsid w:val="003C1E78"/>
    <w:rsid w:val="003D0488"/>
    <w:rsid w:val="003D77E7"/>
    <w:rsid w:val="003E18E4"/>
    <w:rsid w:val="003E1C93"/>
    <w:rsid w:val="003F7064"/>
    <w:rsid w:val="0040200C"/>
    <w:rsid w:val="00407110"/>
    <w:rsid w:val="00424BC9"/>
    <w:rsid w:val="00426A79"/>
    <w:rsid w:val="0043584D"/>
    <w:rsid w:val="00441ECE"/>
    <w:rsid w:val="00443EB3"/>
    <w:rsid w:val="0045363F"/>
    <w:rsid w:val="00460014"/>
    <w:rsid w:val="0047430A"/>
    <w:rsid w:val="00475E14"/>
    <w:rsid w:val="00482FCF"/>
    <w:rsid w:val="004870B9"/>
    <w:rsid w:val="00487330"/>
    <w:rsid w:val="004B4E05"/>
    <w:rsid w:val="004C50C8"/>
    <w:rsid w:val="004D6094"/>
    <w:rsid w:val="004E01CE"/>
    <w:rsid w:val="004E316E"/>
    <w:rsid w:val="004E740A"/>
    <w:rsid w:val="004F01FF"/>
    <w:rsid w:val="004F0ECC"/>
    <w:rsid w:val="004F4442"/>
    <w:rsid w:val="004F5F13"/>
    <w:rsid w:val="005266DD"/>
    <w:rsid w:val="00535820"/>
    <w:rsid w:val="0054031C"/>
    <w:rsid w:val="00551755"/>
    <w:rsid w:val="00556D1D"/>
    <w:rsid w:val="0056020D"/>
    <w:rsid w:val="005611C0"/>
    <w:rsid w:val="00566184"/>
    <w:rsid w:val="00567889"/>
    <w:rsid w:val="00581704"/>
    <w:rsid w:val="00590F8C"/>
    <w:rsid w:val="00593C2E"/>
    <w:rsid w:val="005A43E6"/>
    <w:rsid w:val="005A5EDD"/>
    <w:rsid w:val="005B5A3B"/>
    <w:rsid w:val="005C2FE5"/>
    <w:rsid w:val="005C5A08"/>
    <w:rsid w:val="005C7646"/>
    <w:rsid w:val="005D0662"/>
    <w:rsid w:val="005D4743"/>
    <w:rsid w:val="005D66CB"/>
    <w:rsid w:val="005E0C3B"/>
    <w:rsid w:val="005F1F63"/>
    <w:rsid w:val="006031EA"/>
    <w:rsid w:val="006121F8"/>
    <w:rsid w:val="006424FD"/>
    <w:rsid w:val="006427EC"/>
    <w:rsid w:val="00654974"/>
    <w:rsid w:val="00662D6C"/>
    <w:rsid w:val="006650B0"/>
    <w:rsid w:val="006674F7"/>
    <w:rsid w:val="00667E50"/>
    <w:rsid w:val="0067223D"/>
    <w:rsid w:val="00680016"/>
    <w:rsid w:val="00681105"/>
    <w:rsid w:val="00681F03"/>
    <w:rsid w:val="006830A9"/>
    <w:rsid w:val="00687BDF"/>
    <w:rsid w:val="006C26EC"/>
    <w:rsid w:val="006C49C1"/>
    <w:rsid w:val="006C5F6B"/>
    <w:rsid w:val="006D1C66"/>
    <w:rsid w:val="006E5D37"/>
    <w:rsid w:val="006E6B5A"/>
    <w:rsid w:val="006F73C2"/>
    <w:rsid w:val="00706FFF"/>
    <w:rsid w:val="00707612"/>
    <w:rsid w:val="00716D8C"/>
    <w:rsid w:val="007343C3"/>
    <w:rsid w:val="007566F8"/>
    <w:rsid w:val="00761085"/>
    <w:rsid w:val="00762A66"/>
    <w:rsid w:val="007641D4"/>
    <w:rsid w:val="007710EE"/>
    <w:rsid w:val="00781653"/>
    <w:rsid w:val="00781BF4"/>
    <w:rsid w:val="00784A7D"/>
    <w:rsid w:val="007963BF"/>
    <w:rsid w:val="00797426"/>
    <w:rsid w:val="007B41E0"/>
    <w:rsid w:val="007D46A0"/>
    <w:rsid w:val="007F05A3"/>
    <w:rsid w:val="00816536"/>
    <w:rsid w:val="0082088B"/>
    <w:rsid w:val="00821BA9"/>
    <w:rsid w:val="00823326"/>
    <w:rsid w:val="00831806"/>
    <w:rsid w:val="00833A3D"/>
    <w:rsid w:val="0085085F"/>
    <w:rsid w:val="00856348"/>
    <w:rsid w:val="008572D7"/>
    <w:rsid w:val="00870830"/>
    <w:rsid w:val="008A0D49"/>
    <w:rsid w:val="008A1572"/>
    <w:rsid w:val="008A3732"/>
    <w:rsid w:val="008B4C13"/>
    <w:rsid w:val="008C5058"/>
    <w:rsid w:val="008C728D"/>
    <w:rsid w:val="008C7297"/>
    <w:rsid w:val="008C790F"/>
    <w:rsid w:val="008E6F6C"/>
    <w:rsid w:val="00902B27"/>
    <w:rsid w:val="0092063A"/>
    <w:rsid w:val="00920A02"/>
    <w:rsid w:val="0092751D"/>
    <w:rsid w:val="00934E1E"/>
    <w:rsid w:val="00937638"/>
    <w:rsid w:val="00975BAE"/>
    <w:rsid w:val="0097703D"/>
    <w:rsid w:val="00987EA5"/>
    <w:rsid w:val="00990FF8"/>
    <w:rsid w:val="009927B2"/>
    <w:rsid w:val="00992E92"/>
    <w:rsid w:val="009A4E92"/>
    <w:rsid w:val="009B28FC"/>
    <w:rsid w:val="009B3D50"/>
    <w:rsid w:val="009B5D4B"/>
    <w:rsid w:val="009C26D6"/>
    <w:rsid w:val="009D3510"/>
    <w:rsid w:val="009D499D"/>
    <w:rsid w:val="009F025D"/>
    <w:rsid w:val="009F56D7"/>
    <w:rsid w:val="00A02850"/>
    <w:rsid w:val="00A02AB2"/>
    <w:rsid w:val="00A04510"/>
    <w:rsid w:val="00A1276B"/>
    <w:rsid w:val="00A40293"/>
    <w:rsid w:val="00A44212"/>
    <w:rsid w:val="00A4421F"/>
    <w:rsid w:val="00A45013"/>
    <w:rsid w:val="00A66E08"/>
    <w:rsid w:val="00A6719F"/>
    <w:rsid w:val="00A70F9F"/>
    <w:rsid w:val="00A757AC"/>
    <w:rsid w:val="00A815B9"/>
    <w:rsid w:val="00A852B4"/>
    <w:rsid w:val="00A973B8"/>
    <w:rsid w:val="00AA4116"/>
    <w:rsid w:val="00AD2FE2"/>
    <w:rsid w:val="00AF55C8"/>
    <w:rsid w:val="00B002E8"/>
    <w:rsid w:val="00B028F6"/>
    <w:rsid w:val="00B04996"/>
    <w:rsid w:val="00B059D2"/>
    <w:rsid w:val="00B15851"/>
    <w:rsid w:val="00B162CF"/>
    <w:rsid w:val="00B20231"/>
    <w:rsid w:val="00B202C5"/>
    <w:rsid w:val="00B224FA"/>
    <w:rsid w:val="00B2358C"/>
    <w:rsid w:val="00B3085F"/>
    <w:rsid w:val="00B35186"/>
    <w:rsid w:val="00B422BD"/>
    <w:rsid w:val="00B466FC"/>
    <w:rsid w:val="00B47850"/>
    <w:rsid w:val="00B669BB"/>
    <w:rsid w:val="00B710B0"/>
    <w:rsid w:val="00B75CAE"/>
    <w:rsid w:val="00B8409B"/>
    <w:rsid w:val="00B904EE"/>
    <w:rsid w:val="00B9608A"/>
    <w:rsid w:val="00BA2DDA"/>
    <w:rsid w:val="00BC493C"/>
    <w:rsid w:val="00BD14BC"/>
    <w:rsid w:val="00BD1926"/>
    <w:rsid w:val="00BD20D8"/>
    <w:rsid w:val="00BD7572"/>
    <w:rsid w:val="00BF5CCD"/>
    <w:rsid w:val="00BF5D0C"/>
    <w:rsid w:val="00BF79D6"/>
    <w:rsid w:val="00C011C7"/>
    <w:rsid w:val="00C061ED"/>
    <w:rsid w:val="00C12F60"/>
    <w:rsid w:val="00C23A25"/>
    <w:rsid w:val="00C26B20"/>
    <w:rsid w:val="00C33E75"/>
    <w:rsid w:val="00C342FE"/>
    <w:rsid w:val="00C401A7"/>
    <w:rsid w:val="00C6793A"/>
    <w:rsid w:val="00C733B5"/>
    <w:rsid w:val="00C8610D"/>
    <w:rsid w:val="00C86A2E"/>
    <w:rsid w:val="00C92DBF"/>
    <w:rsid w:val="00C93007"/>
    <w:rsid w:val="00C93263"/>
    <w:rsid w:val="00C95511"/>
    <w:rsid w:val="00C9586A"/>
    <w:rsid w:val="00CA0318"/>
    <w:rsid w:val="00CB1E5F"/>
    <w:rsid w:val="00CB4225"/>
    <w:rsid w:val="00CB7CEA"/>
    <w:rsid w:val="00CD6D96"/>
    <w:rsid w:val="00CF077F"/>
    <w:rsid w:val="00CF41F3"/>
    <w:rsid w:val="00D321CB"/>
    <w:rsid w:val="00D362CB"/>
    <w:rsid w:val="00D4010C"/>
    <w:rsid w:val="00D40706"/>
    <w:rsid w:val="00D523C5"/>
    <w:rsid w:val="00D55874"/>
    <w:rsid w:val="00D6503F"/>
    <w:rsid w:val="00D90381"/>
    <w:rsid w:val="00D97BC5"/>
    <w:rsid w:val="00DB4F13"/>
    <w:rsid w:val="00DB6C0E"/>
    <w:rsid w:val="00DE0339"/>
    <w:rsid w:val="00E079D9"/>
    <w:rsid w:val="00E23971"/>
    <w:rsid w:val="00E350F9"/>
    <w:rsid w:val="00E4454B"/>
    <w:rsid w:val="00E45EAF"/>
    <w:rsid w:val="00E467F4"/>
    <w:rsid w:val="00E55C0A"/>
    <w:rsid w:val="00E55DA7"/>
    <w:rsid w:val="00E62A6D"/>
    <w:rsid w:val="00E700D7"/>
    <w:rsid w:val="00E703F6"/>
    <w:rsid w:val="00E775E4"/>
    <w:rsid w:val="00E87E42"/>
    <w:rsid w:val="00E93D69"/>
    <w:rsid w:val="00E97BEB"/>
    <w:rsid w:val="00EA2C89"/>
    <w:rsid w:val="00EA69D0"/>
    <w:rsid w:val="00ED497D"/>
    <w:rsid w:val="00EE1149"/>
    <w:rsid w:val="00EE149F"/>
    <w:rsid w:val="00EE441C"/>
    <w:rsid w:val="00EE699A"/>
    <w:rsid w:val="00EF4452"/>
    <w:rsid w:val="00EF512E"/>
    <w:rsid w:val="00EF65FA"/>
    <w:rsid w:val="00F13BAF"/>
    <w:rsid w:val="00F227D5"/>
    <w:rsid w:val="00F30307"/>
    <w:rsid w:val="00F357D9"/>
    <w:rsid w:val="00F40AA5"/>
    <w:rsid w:val="00F40DF4"/>
    <w:rsid w:val="00F41743"/>
    <w:rsid w:val="00F44DC5"/>
    <w:rsid w:val="00F52B8D"/>
    <w:rsid w:val="00F53016"/>
    <w:rsid w:val="00F72469"/>
    <w:rsid w:val="00F728AE"/>
    <w:rsid w:val="00F76D66"/>
    <w:rsid w:val="00F772EE"/>
    <w:rsid w:val="00F840B9"/>
    <w:rsid w:val="00F84360"/>
    <w:rsid w:val="00F95B31"/>
    <w:rsid w:val="00FB28B0"/>
    <w:rsid w:val="00FB7716"/>
    <w:rsid w:val="00FB7C18"/>
    <w:rsid w:val="00FC086C"/>
    <w:rsid w:val="00FC1B2C"/>
    <w:rsid w:val="00FC5BCF"/>
    <w:rsid w:val="00FC69D5"/>
    <w:rsid w:val="00FD412A"/>
    <w:rsid w:val="00FF3E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01A8A"/>
  <w15:docId w15:val="{A44C40E6-72E5-4DDC-AAD2-76998F8CF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2376D"/>
    <w:pPr>
      <w:spacing w:after="200"/>
    </w:pPr>
    <w:rPr>
      <w:rFonts w:ascii="Cambria" w:eastAsia="Cambria" w:hAnsi="Cambria"/>
      <w:sz w:val="24"/>
      <w:szCs w:val="24"/>
      <w:lang w:eastAsia="en-US"/>
    </w:rPr>
  </w:style>
  <w:style w:type="paragraph" w:styleId="Naslov1">
    <w:name w:val="heading 1"/>
    <w:basedOn w:val="Navaden"/>
    <w:next w:val="Navaden"/>
    <w:link w:val="Naslov1Znak"/>
    <w:qFormat/>
    <w:rsid w:val="00EE699A"/>
    <w:pPr>
      <w:keepNext/>
      <w:spacing w:after="0"/>
      <w:outlineLvl w:val="0"/>
    </w:pPr>
    <w:rPr>
      <w:rFonts w:ascii="Times New Roman" w:eastAsia="Times New Roman" w:hAnsi="Times New Roman"/>
      <w:b/>
      <w:i/>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82FCF"/>
    <w:pPr>
      <w:tabs>
        <w:tab w:val="center" w:pos="4536"/>
        <w:tab w:val="right" w:pos="9072"/>
      </w:tabs>
    </w:pPr>
  </w:style>
  <w:style w:type="paragraph" w:styleId="Noga">
    <w:name w:val="footer"/>
    <w:basedOn w:val="Navaden"/>
    <w:link w:val="NogaZnak"/>
    <w:uiPriority w:val="99"/>
    <w:rsid w:val="00482FCF"/>
    <w:pPr>
      <w:tabs>
        <w:tab w:val="center" w:pos="4536"/>
        <w:tab w:val="right" w:pos="9072"/>
      </w:tabs>
    </w:pPr>
  </w:style>
  <w:style w:type="character" w:customStyle="1" w:styleId="NogaZnak">
    <w:name w:val="Noga Znak"/>
    <w:link w:val="Noga"/>
    <w:uiPriority w:val="99"/>
    <w:rsid w:val="00225C05"/>
    <w:rPr>
      <w:rFonts w:ascii="Cambria" w:eastAsia="Cambria" w:hAnsi="Cambria"/>
      <w:sz w:val="24"/>
      <w:szCs w:val="24"/>
      <w:lang w:val="en-US" w:eastAsia="en-US"/>
    </w:rPr>
  </w:style>
  <w:style w:type="character" w:styleId="tevilkastrani">
    <w:name w:val="page number"/>
    <w:basedOn w:val="Privzetapisavaodstavka"/>
    <w:rsid w:val="00225C05"/>
  </w:style>
  <w:style w:type="character" w:styleId="Hiperpovezava">
    <w:name w:val="Hyperlink"/>
    <w:uiPriority w:val="99"/>
    <w:unhideWhenUsed/>
    <w:rsid w:val="00B9608A"/>
    <w:rPr>
      <w:color w:val="0000FF"/>
      <w:u w:val="single"/>
    </w:rPr>
  </w:style>
  <w:style w:type="character" w:customStyle="1" w:styleId="Naslov1Znak">
    <w:name w:val="Naslov 1 Znak"/>
    <w:link w:val="Naslov1"/>
    <w:rsid w:val="00EE699A"/>
    <w:rPr>
      <w:b/>
      <w:i/>
      <w:sz w:val="24"/>
    </w:rPr>
  </w:style>
  <w:style w:type="character" w:customStyle="1" w:styleId="a123">
    <w:name w:val="a1.2.3"/>
    <w:rsid w:val="00EE699A"/>
  </w:style>
  <w:style w:type="character" w:styleId="Pripombasklic">
    <w:name w:val="annotation reference"/>
    <w:rsid w:val="00EE699A"/>
    <w:rPr>
      <w:sz w:val="16"/>
      <w:szCs w:val="16"/>
    </w:rPr>
  </w:style>
  <w:style w:type="paragraph" w:styleId="Pripombabesedilo">
    <w:name w:val="annotation text"/>
    <w:basedOn w:val="Navaden"/>
    <w:link w:val="PripombabesediloZnak"/>
    <w:rsid w:val="00EE699A"/>
    <w:rPr>
      <w:sz w:val="20"/>
      <w:szCs w:val="20"/>
    </w:rPr>
  </w:style>
  <w:style w:type="character" w:customStyle="1" w:styleId="PripombabesediloZnak">
    <w:name w:val="Pripomba – besedilo Znak"/>
    <w:link w:val="Pripombabesedilo"/>
    <w:rsid w:val="00EE699A"/>
    <w:rPr>
      <w:rFonts w:ascii="Cambria" w:eastAsia="Cambria" w:hAnsi="Cambria"/>
      <w:lang w:eastAsia="en-US"/>
    </w:rPr>
  </w:style>
  <w:style w:type="paragraph" w:styleId="Besedilooblaka">
    <w:name w:val="Balloon Text"/>
    <w:basedOn w:val="Navaden"/>
    <w:link w:val="BesedilooblakaZnak"/>
    <w:rsid w:val="00EE699A"/>
    <w:pPr>
      <w:spacing w:after="0"/>
    </w:pPr>
    <w:rPr>
      <w:rFonts w:ascii="Tahoma" w:hAnsi="Tahoma" w:cs="Tahoma"/>
      <w:sz w:val="16"/>
      <w:szCs w:val="16"/>
    </w:rPr>
  </w:style>
  <w:style w:type="character" w:customStyle="1" w:styleId="BesedilooblakaZnak">
    <w:name w:val="Besedilo oblačka Znak"/>
    <w:link w:val="Besedilooblaka"/>
    <w:rsid w:val="00EE699A"/>
    <w:rPr>
      <w:rFonts w:ascii="Tahoma" w:eastAsia="Cambria" w:hAnsi="Tahoma" w:cs="Tahoma"/>
      <w:sz w:val="16"/>
      <w:szCs w:val="16"/>
      <w:lang w:eastAsia="en-US"/>
    </w:rPr>
  </w:style>
  <w:style w:type="paragraph" w:styleId="Navadensplet">
    <w:name w:val="Normal (Web)"/>
    <w:basedOn w:val="Navaden"/>
    <w:uiPriority w:val="99"/>
    <w:unhideWhenUsed/>
    <w:rsid w:val="000577D0"/>
    <w:pPr>
      <w:spacing w:before="100" w:beforeAutospacing="1" w:after="100" w:afterAutospacing="1"/>
    </w:pPr>
    <w:rPr>
      <w:rFonts w:ascii="Times New Roman" w:eastAsia="Times New Roman" w:hAnsi="Times New Roman"/>
      <w:lang w:eastAsia="sl-SI"/>
    </w:rPr>
  </w:style>
  <w:style w:type="character" w:styleId="Krepko">
    <w:name w:val="Strong"/>
    <w:uiPriority w:val="22"/>
    <w:qFormat/>
    <w:rsid w:val="000577D0"/>
    <w:rPr>
      <w:b/>
      <w:bCs/>
    </w:rPr>
  </w:style>
  <w:style w:type="paragraph" w:styleId="Telobesedila3">
    <w:name w:val="Body Text 3"/>
    <w:aliases w:val=" Char"/>
    <w:basedOn w:val="Navaden"/>
    <w:link w:val="Telobesedila3Znak"/>
    <w:rsid w:val="0097703D"/>
    <w:pPr>
      <w:spacing w:after="0"/>
      <w:jc w:val="both"/>
    </w:pPr>
    <w:rPr>
      <w:rFonts w:ascii="Gatineau_CE" w:eastAsia="Times New Roman" w:hAnsi="Gatineau_CE"/>
      <w:iCs/>
      <w:szCs w:val="20"/>
    </w:rPr>
  </w:style>
  <w:style w:type="character" w:customStyle="1" w:styleId="Telobesedila3Znak">
    <w:name w:val="Telo besedila 3 Znak"/>
    <w:aliases w:val=" Char Znak"/>
    <w:link w:val="Telobesedila3"/>
    <w:rsid w:val="0097703D"/>
    <w:rPr>
      <w:rFonts w:ascii="Gatineau_CE" w:hAnsi="Gatineau_CE"/>
      <w:iCs/>
      <w:sz w:val="24"/>
      <w:lang w:eastAsia="en-US"/>
    </w:rPr>
  </w:style>
  <w:style w:type="paragraph" w:styleId="Zadevapripombe">
    <w:name w:val="annotation subject"/>
    <w:basedOn w:val="Pripombabesedilo"/>
    <w:next w:val="Pripombabesedilo"/>
    <w:link w:val="ZadevapripombeZnak"/>
    <w:rsid w:val="00A815B9"/>
    <w:rPr>
      <w:b/>
      <w:bCs/>
    </w:rPr>
  </w:style>
  <w:style w:type="character" w:customStyle="1" w:styleId="ZadevapripombeZnak">
    <w:name w:val="Zadeva pripombe Znak"/>
    <w:link w:val="Zadevapripombe"/>
    <w:rsid w:val="00A815B9"/>
    <w:rPr>
      <w:rFonts w:ascii="Cambria" w:eastAsia="Cambria" w:hAnsi="Cambria"/>
      <w:b/>
      <w:bCs/>
      <w:lang w:eastAsia="en-US"/>
    </w:rPr>
  </w:style>
  <w:style w:type="paragraph" w:styleId="Odstavekseznama">
    <w:name w:val="List Paragraph"/>
    <w:basedOn w:val="Navaden"/>
    <w:uiPriority w:val="34"/>
    <w:qFormat/>
    <w:rsid w:val="00FB28B0"/>
    <w:pPr>
      <w:ind w:left="720"/>
      <w:contextualSpacing/>
    </w:pPr>
  </w:style>
  <w:style w:type="paragraph" w:styleId="Brezrazmikov">
    <w:name w:val="No Spacing"/>
    <w:uiPriority w:val="1"/>
    <w:qFormat/>
    <w:rsid w:val="001A54E9"/>
    <w:rPr>
      <w:rFonts w:ascii="Cambria" w:eastAsia="Cambria" w:hAnsi="Cambri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5083">
      <w:bodyDiv w:val="1"/>
      <w:marLeft w:val="0"/>
      <w:marRight w:val="0"/>
      <w:marTop w:val="0"/>
      <w:marBottom w:val="0"/>
      <w:divBdr>
        <w:top w:val="none" w:sz="0" w:space="0" w:color="auto"/>
        <w:left w:val="none" w:sz="0" w:space="0" w:color="auto"/>
        <w:bottom w:val="none" w:sz="0" w:space="0" w:color="auto"/>
        <w:right w:val="none" w:sz="0" w:space="0" w:color="auto"/>
      </w:divBdr>
    </w:div>
    <w:div w:id="807819470">
      <w:bodyDiv w:val="1"/>
      <w:marLeft w:val="0"/>
      <w:marRight w:val="0"/>
      <w:marTop w:val="0"/>
      <w:marBottom w:val="0"/>
      <w:divBdr>
        <w:top w:val="none" w:sz="0" w:space="0" w:color="auto"/>
        <w:left w:val="none" w:sz="0" w:space="0" w:color="auto"/>
        <w:bottom w:val="none" w:sz="0" w:space="0" w:color="auto"/>
        <w:right w:val="none" w:sz="0" w:space="0" w:color="auto"/>
      </w:divBdr>
    </w:div>
    <w:div w:id="978416111">
      <w:bodyDiv w:val="1"/>
      <w:marLeft w:val="0"/>
      <w:marRight w:val="0"/>
      <w:marTop w:val="0"/>
      <w:marBottom w:val="0"/>
      <w:divBdr>
        <w:top w:val="none" w:sz="0" w:space="0" w:color="auto"/>
        <w:left w:val="none" w:sz="0" w:space="0" w:color="auto"/>
        <w:bottom w:val="none" w:sz="0" w:space="0" w:color="auto"/>
        <w:right w:val="none" w:sz="0" w:space="0" w:color="auto"/>
      </w:divBdr>
      <w:divsChild>
        <w:div w:id="867570120">
          <w:marLeft w:val="0"/>
          <w:marRight w:val="0"/>
          <w:marTop w:val="0"/>
          <w:marBottom w:val="0"/>
          <w:divBdr>
            <w:top w:val="none" w:sz="0" w:space="0" w:color="auto"/>
            <w:left w:val="none" w:sz="0" w:space="0" w:color="auto"/>
            <w:bottom w:val="none" w:sz="0" w:space="0" w:color="auto"/>
            <w:right w:val="none" w:sz="0" w:space="0" w:color="auto"/>
          </w:divBdr>
          <w:divsChild>
            <w:div w:id="456488756">
              <w:marLeft w:val="0"/>
              <w:marRight w:val="0"/>
              <w:marTop w:val="0"/>
              <w:marBottom w:val="0"/>
              <w:divBdr>
                <w:top w:val="none" w:sz="0" w:space="0" w:color="auto"/>
                <w:left w:val="none" w:sz="0" w:space="0" w:color="auto"/>
                <w:bottom w:val="none" w:sz="0" w:space="0" w:color="auto"/>
                <w:right w:val="none" w:sz="0" w:space="0" w:color="auto"/>
              </w:divBdr>
              <w:divsChild>
                <w:div w:id="27992224">
                  <w:marLeft w:val="0"/>
                  <w:marRight w:val="0"/>
                  <w:marTop w:val="0"/>
                  <w:marBottom w:val="0"/>
                  <w:divBdr>
                    <w:top w:val="none" w:sz="0" w:space="0" w:color="auto"/>
                    <w:left w:val="none" w:sz="0" w:space="0" w:color="auto"/>
                    <w:bottom w:val="none" w:sz="0" w:space="0" w:color="auto"/>
                    <w:right w:val="none" w:sz="0" w:space="0" w:color="auto"/>
                  </w:divBdr>
                  <w:divsChild>
                    <w:div w:id="1745370860">
                      <w:marLeft w:val="0"/>
                      <w:marRight w:val="0"/>
                      <w:marTop w:val="0"/>
                      <w:marBottom w:val="0"/>
                      <w:divBdr>
                        <w:top w:val="none" w:sz="0" w:space="0" w:color="auto"/>
                        <w:left w:val="none" w:sz="0" w:space="0" w:color="auto"/>
                        <w:bottom w:val="none" w:sz="0" w:space="0" w:color="auto"/>
                        <w:right w:val="none" w:sz="0" w:space="0" w:color="auto"/>
                      </w:divBdr>
                      <w:divsChild>
                        <w:div w:id="89073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506885">
      <w:bodyDiv w:val="1"/>
      <w:marLeft w:val="0"/>
      <w:marRight w:val="0"/>
      <w:marTop w:val="0"/>
      <w:marBottom w:val="0"/>
      <w:divBdr>
        <w:top w:val="none" w:sz="0" w:space="0" w:color="auto"/>
        <w:left w:val="none" w:sz="0" w:space="0" w:color="auto"/>
        <w:bottom w:val="none" w:sz="0" w:space="0" w:color="auto"/>
        <w:right w:val="none" w:sz="0" w:space="0" w:color="auto"/>
      </w:divBdr>
    </w:div>
    <w:div w:id="1329862564">
      <w:bodyDiv w:val="1"/>
      <w:marLeft w:val="0"/>
      <w:marRight w:val="0"/>
      <w:marTop w:val="0"/>
      <w:marBottom w:val="0"/>
      <w:divBdr>
        <w:top w:val="none" w:sz="0" w:space="0" w:color="auto"/>
        <w:left w:val="none" w:sz="0" w:space="0" w:color="auto"/>
        <w:bottom w:val="none" w:sz="0" w:space="0" w:color="auto"/>
        <w:right w:val="none" w:sz="0" w:space="0" w:color="auto"/>
      </w:divBdr>
    </w:div>
    <w:div w:id="1402603301">
      <w:bodyDiv w:val="1"/>
      <w:marLeft w:val="0"/>
      <w:marRight w:val="0"/>
      <w:marTop w:val="0"/>
      <w:marBottom w:val="0"/>
      <w:divBdr>
        <w:top w:val="none" w:sz="0" w:space="0" w:color="auto"/>
        <w:left w:val="none" w:sz="0" w:space="0" w:color="auto"/>
        <w:bottom w:val="none" w:sz="0" w:space="0" w:color="auto"/>
        <w:right w:val="none" w:sz="0" w:space="0" w:color="auto"/>
      </w:divBdr>
    </w:div>
    <w:div w:id="141551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C6533-8DC4-461B-A570-1DD6D050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2972</Words>
  <Characters>19514</Characters>
  <Application>Microsoft Office Word</Application>
  <DocSecurity>0</DocSecurity>
  <Lines>162</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Lorem ipsum …</vt:lpstr>
      <vt:lpstr>Lorem ipsum …</vt:lpstr>
    </vt:vector>
  </TitlesOfParts>
  <Company>Sedna</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c:title>
  <dc:subject/>
  <dc:creator>Mediapolis</dc:creator>
  <cp:keywords/>
  <cp:lastModifiedBy>Julija Uršič</cp:lastModifiedBy>
  <cp:revision>6</cp:revision>
  <cp:lastPrinted>2022-02-14T13:36:00Z</cp:lastPrinted>
  <dcterms:created xsi:type="dcterms:W3CDTF">2026-05-12T07:42:00Z</dcterms:created>
  <dcterms:modified xsi:type="dcterms:W3CDTF">2026-05-12T12:31:00Z</dcterms:modified>
</cp:coreProperties>
</file>