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547F6" w:rsidRDefault="004547F6">
      <w:pPr>
        <w:pStyle w:val="Body"/>
        <w:spacing w:line="408" w:lineRule="auto"/>
      </w:pPr>
    </w:p>
    <w:p w:rsidR="004547F6" w:rsidRDefault="005244D5">
      <w:pPr>
        <w:pStyle w:val="Body"/>
        <w:spacing w:line="408" w:lineRule="auto"/>
        <w:jc w:val="center"/>
        <w:rPr>
          <w:b/>
          <w:bCs/>
        </w:rPr>
      </w:pPr>
      <w:r>
        <w:rPr>
          <w:b/>
          <w:bCs/>
        </w:rPr>
        <w:t>POROČILO O AKREDITACIJI VISOKOŠ</w:t>
      </w:r>
      <w:r>
        <w:rPr>
          <w:b/>
          <w:bCs/>
          <w:lang w:val="de-DE"/>
        </w:rPr>
        <w:t xml:space="preserve">OLSKEGA ZAVODA </w:t>
      </w:r>
      <w:r>
        <w:rPr>
          <w:b/>
          <w:bCs/>
        </w:rPr>
        <w:t xml:space="preserve">– </w:t>
      </w:r>
      <w:r>
        <w:rPr>
          <w:b/>
          <w:bCs/>
          <w:lang w:val="es-ES_tradnl"/>
        </w:rPr>
        <w:t>DISLOCIRANA ENOTA</w:t>
      </w:r>
    </w:p>
    <w:p w:rsidR="004547F6" w:rsidRDefault="004547F6">
      <w:pPr>
        <w:pStyle w:val="Body"/>
        <w:spacing w:line="408" w:lineRule="auto"/>
        <w:rPr>
          <w:b/>
          <w:bCs/>
        </w:rPr>
      </w:pPr>
    </w:p>
    <w:p w:rsidR="004547F6" w:rsidRDefault="005244D5">
      <w:pPr>
        <w:pStyle w:val="Body"/>
        <w:spacing w:line="408" w:lineRule="auto"/>
      </w:pPr>
      <w:r>
        <w:t xml:space="preserve">Vlagatelj/i in predlagatelj/i: </w:t>
      </w:r>
      <w:r>
        <w:rPr>
          <w:b/>
          <w:bCs/>
        </w:rPr>
        <w:t xml:space="preserve">          </w:t>
      </w:r>
    </w:p>
    <w:p w:rsidR="004547F6" w:rsidRDefault="005244D5">
      <w:pPr>
        <w:pStyle w:val="Body"/>
        <w:spacing w:line="408" w:lineRule="auto"/>
        <w:rPr>
          <w:b/>
          <w:bCs/>
        </w:rPr>
      </w:pPr>
      <w:r>
        <w:t>Skupina strokovnjakov:</w:t>
      </w:r>
    </w:p>
    <w:tbl>
      <w:tblPr>
        <w:tblW w:w="90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65"/>
        <w:gridCol w:w="7297"/>
      </w:tblGrid>
      <w:tr w:rsidR="004547F6" w:rsidRPr="005A511D">
        <w:trPr>
          <w:trHeight w:val="490"/>
        </w:trPr>
        <w:tc>
          <w:tcPr>
            <w:tcW w:w="176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4547F6" w:rsidRDefault="005244D5">
            <w:pPr>
              <w:pStyle w:val="Body"/>
              <w:jc w:val="right"/>
            </w:pPr>
            <w:r>
              <w:t>predsednik/ca</w:t>
            </w:r>
          </w:p>
        </w:tc>
        <w:tc>
          <w:tcPr>
            <w:tcW w:w="7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547F6" w:rsidRDefault="005244D5">
            <w:pPr>
              <w:pStyle w:val="Body"/>
              <w:jc w:val="left"/>
            </w:pPr>
            <w:r>
              <w:rPr>
                <w:color w:val="4F81BD"/>
                <w:u w:color="4F81BD"/>
              </w:rPr>
              <w:t>Goran Turk, Univerza v Ljubljani, Fakulteta za gradbeniš</w:t>
            </w:r>
            <w:r>
              <w:rPr>
                <w:color w:val="4F81BD"/>
                <w:u w:color="4F81BD"/>
                <w:lang w:val="nl-NL"/>
              </w:rPr>
              <w:t>tvo in geodezijo</w:t>
            </w:r>
          </w:p>
        </w:tc>
      </w:tr>
      <w:tr w:rsidR="004547F6" w:rsidRPr="005A511D">
        <w:trPr>
          <w:trHeight w:val="250"/>
        </w:trPr>
        <w:tc>
          <w:tcPr>
            <w:tcW w:w="176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4547F6" w:rsidRDefault="005244D5">
            <w:pPr>
              <w:pStyle w:val="Body"/>
              <w:jc w:val="right"/>
            </w:pPr>
            <w:r>
              <w:t>član/ica</w:t>
            </w:r>
          </w:p>
        </w:tc>
        <w:tc>
          <w:tcPr>
            <w:tcW w:w="7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547F6" w:rsidRDefault="005244D5">
            <w:pPr>
              <w:pStyle w:val="Body"/>
              <w:jc w:val="left"/>
            </w:pPr>
            <w:r w:rsidRPr="005A511D">
              <w:rPr>
                <w:color w:val="4F81BD"/>
                <w:u w:color="4F81BD"/>
              </w:rPr>
              <w:t xml:space="preserve">Mario </w:t>
            </w:r>
            <w:r>
              <w:rPr>
                <w:color w:val="4F81BD"/>
                <w:u w:color="4F81BD"/>
              </w:rPr>
              <w:t xml:space="preserve">Šafran, Fakultet </w:t>
            </w:r>
            <w:r>
              <w:rPr>
                <w:color w:val="4F81BD"/>
                <w:u w:color="4F81BD"/>
              </w:rPr>
              <w:t>prometnih znanosti Sveučilišta u Zagrebu</w:t>
            </w:r>
          </w:p>
        </w:tc>
      </w:tr>
      <w:tr w:rsidR="004547F6" w:rsidRPr="005A511D">
        <w:trPr>
          <w:trHeight w:val="250"/>
        </w:trPr>
        <w:tc>
          <w:tcPr>
            <w:tcW w:w="176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4547F6" w:rsidRDefault="005244D5">
            <w:pPr>
              <w:pStyle w:val="Body"/>
              <w:jc w:val="right"/>
            </w:pPr>
            <w:r>
              <w:t>član/ica</w:t>
            </w:r>
          </w:p>
        </w:tc>
        <w:tc>
          <w:tcPr>
            <w:tcW w:w="7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547F6" w:rsidRDefault="005244D5">
            <w:pPr>
              <w:pStyle w:val="Body"/>
              <w:jc w:val="left"/>
            </w:pPr>
            <w:r>
              <w:rPr>
                <w:color w:val="4F81BD"/>
                <w:u w:color="4F81BD"/>
              </w:rPr>
              <w:t>Lenart Kmetič, študent, Univerza v Ljubljani, Pravna fakulteta</w:t>
            </w:r>
          </w:p>
        </w:tc>
      </w:tr>
    </w:tbl>
    <w:p w:rsidR="004547F6" w:rsidRDefault="004547F6">
      <w:pPr>
        <w:pStyle w:val="Body"/>
        <w:widowControl w:val="0"/>
        <w:rPr>
          <w:b/>
          <w:bCs/>
        </w:rPr>
      </w:pPr>
    </w:p>
    <w:p w:rsidR="004547F6" w:rsidRDefault="004547F6">
      <w:pPr>
        <w:pStyle w:val="Body"/>
        <w:spacing w:line="408" w:lineRule="auto"/>
        <w:rPr>
          <w:b/>
          <w:bCs/>
        </w:rPr>
      </w:pPr>
    </w:p>
    <w:p w:rsidR="004547F6" w:rsidRDefault="005244D5">
      <w:pPr>
        <w:pStyle w:val="Body"/>
        <w:spacing w:line="408" w:lineRule="auto"/>
      </w:pPr>
      <w:r>
        <w:rPr>
          <w:b/>
          <w:bCs/>
        </w:rPr>
        <w:t>Datum oddaje akreditacijskega poročila agenciji:</w:t>
      </w:r>
      <w:r>
        <w:t xml:space="preserve"> </w:t>
      </w:r>
      <w:r>
        <w:t>10.10.2018</w:t>
      </w:r>
    </w:p>
    <w:p w:rsidR="004547F6" w:rsidRDefault="005244D5">
      <w:pPr>
        <w:pStyle w:val="Body"/>
        <w:spacing w:line="408" w:lineRule="auto"/>
        <w:rPr>
          <w:b/>
          <w:bCs/>
        </w:rPr>
      </w:pPr>
      <w:r>
        <w:rPr>
          <w:b/>
          <w:bCs/>
        </w:rPr>
        <w:t xml:space="preserve">Podpis predsednika skupine strokovnjakov: </w:t>
      </w:r>
      <w:r w:rsidRPr="005A511D">
        <w:t>_________________</w:t>
      </w:r>
    </w:p>
    <w:p w:rsidR="004547F6" w:rsidRDefault="004547F6">
      <w:pPr>
        <w:pStyle w:val="Body"/>
      </w:pPr>
    </w:p>
    <w:p w:rsidR="004547F6" w:rsidRDefault="004547F6">
      <w:pPr>
        <w:pStyle w:val="Body"/>
      </w:pPr>
    </w:p>
    <w:p w:rsidR="004547F6" w:rsidRDefault="004547F6">
      <w:pPr>
        <w:pStyle w:val="Body"/>
        <w:spacing w:after="200" w:line="276" w:lineRule="auto"/>
        <w:jc w:val="left"/>
      </w:pPr>
    </w:p>
    <w:p w:rsidR="004547F6" w:rsidRDefault="004547F6">
      <w:pPr>
        <w:pStyle w:val="Body"/>
        <w:spacing w:after="200" w:line="276" w:lineRule="auto"/>
        <w:jc w:val="left"/>
      </w:pPr>
    </w:p>
    <w:p w:rsidR="004547F6" w:rsidRDefault="005244D5">
      <w:pPr>
        <w:pStyle w:val="Body"/>
        <w:spacing w:after="200" w:line="276" w:lineRule="auto"/>
        <w:jc w:val="left"/>
      </w:pPr>
      <w:r>
        <w:rPr>
          <w:rFonts w:ascii="Arial Unicode MS" w:hAnsi="Arial Unicode MS"/>
        </w:rPr>
        <w:br w:type="page"/>
      </w:r>
    </w:p>
    <w:p w:rsidR="004547F6" w:rsidRDefault="005244D5">
      <w:pPr>
        <w:pStyle w:val="Body"/>
        <w:spacing w:after="200" w:line="276" w:lineRule="auto"/>
        <w:jc w:val="left"/>
        <w:rPr>
          <w:b/>
          <w:bCs/>
        </w:rPr>
      </w:pPr>
      <w:r>
        <w:rPr>
          <w:b/>
          <w:bCs/>
          <w:lang w:val="de-DE"/>
        </w:rPr>
        <w:t>UVOD</w:t>
      </w:r>
    </w:p>
    <w:p w:rsidR="004547F6" w:rsidRDefault="005244D5">
      <w:pPr>
        <w:pStyle w:val="Body"/>
      </w:pPr>
      <w:r>
        <w:t xml:space="preserve">Skupina strokovnjakov je sklep o imenovanju in gradivo za presojo prejela </w:t>
      </w:r>
      <w:r>
        <w:rPr>
          <w:color w:val="0070C0"/>
          <w:u w:color="0070C0"/>
        </w:rPr>
        <w:t>10. 8. 2018</w:t>
      </w:r>
      <w:r>
        <w:t>. Skupina strokovnjakov je vsebinsko uskladila strokovno mnenje in pripravila skupno poročilo o izpolnjevanju meril za akreditacijo študijskega programa.</w:t>
      </w:r>
    </w:p>
    <w:p w:rsidR="004547F6" w:rsidRDefault="004547F6">
      <w:pPr>
        <w:pStyle w:val="Body"/>
      </w:pPr>
    </w:p>
    <w:p w:rsidR="004547F6" w:rsidRDefault="005244D5">
      <w:pPr>
        <w:pStyle w:val="Body"/>
        <w:rPr>
          <w:i/>
          <w:iCs/>
          <w:color w:val="0070C0"/>
          <w:u w:color="0070C0"/>
        </w:rPr>
      </w:pPr>
      <w:r>
        <w:rPr>
          <w:i/>
          <w:iCs/>
          <w:color w:val="0070C0"/>
          <w:u w:color="0070C0"/>
        </w:rPr>
        <w:t xml:space="preserve">Člani skupine </w:t>
      </w:r>
      <w:r>
        <w:rPr>
          <w:i/>
          <w:iCs/>
          <w:color w:val="0070C0"/>
          <w:u w:color="0070C0"/>
        </w:rPr>
        <w:t>smo neodvisno pregledali gradivo in se na kratkem srečanju neposredno pred obiskom prostorov o njem pogovorili. Po obisku prostorov je predsednik komisije pripravil osnutek poročila, ki sta ga druga dva člana večkrat pregledala, komentirala in dopolnila. R</w:t>
      </w:r>
      <w:r>
        <w:rPr>
          <w:i/>
          <w:iCs/>
          <w:color w:val="0070C0"/>
          <w:u w:color="0070C0"/>
        </w:rPr>
        <w:t>ezultat skupnega dela skupine je poročilo v nadaljevanju tega dokumenta.</w:t>
      </w:r>
    </w:p>
    <w:p w:rsidR="004547F6" w:rsidRDefault="004547F6">
      <w:pPr>
        <w:pStyle w:val="Body"/>
      </w:pPr>
    </w:p>
    <w:p w:rsidR="004547F6" w:rsidRDefault="005244D5">
      <w:pPr>
        <w:pStyle w:val="Body"/>
        <w:rPr>
          <w:i/>
          <w:iCs/>
          <w:sz w:val="16"/>
          <w:szCs w:val="16"/>
        </w:rPr>
      </w:pPr>
      <w:r>
        <w:rPr>
          <w:i/>
          <w:iCs/>
          <w:sz w:val="16"/>
          <w:szCs w:val="16"/>
        </w:rPr>
        <w:t>(27. člen meril: Skupina strokovnjakov pripravi skupno poročilo po področjih presoje in standardih kakovosti, določenih v merilih za akreditacijo dislocirane enote, in sicer na podla</w:t>
      </w:r>
      <w:r>
        <w:rPr>
          <w:i/>
          <w:iCs/>
          <w:sz w:val="16"/>
          <w:szCs w:val="16"/>
        </w:rPr>
        <w:t xml:space="preserve">gi vloge s prilogami, druge zahtevane dokumentacije in obiska dislocirane enote.) </w:t>
      </w:r>
    </w:p>
    <w:p w:rsidR="004547F6" w:rsidRDefault="004547F6">
      <w:pPr>
        <w:pStyle w:val="Body"/>
        <w:rPr>
          <w:i/>
          <w:iCs/>
          <w:sz w:val="16"/>
          <w:szCs w:val="16"/>
        </w:rPr>
      </w:pPr>
    </w:p>
    <w:p w:rsidR="004547F6" w:rsidRDefault="005244D5">
      <w:pPr>
        <w:pStyle w:val="Body"/>
        <w:rPr>
          <w:i/>
          <w:iCs/>
          <w:sz w:val="16"/>
          <w:szCs w:val="16"/>
        </w:rPr>
      </w:pPr>
      <w:r>
        <w:rPr>
          <w:i/>
          <w:iCs/>
          <w:sz w:val="16"/>
          <w:szCs w:val="16"/>
        </w:rPr>
        <w:t>Agencija pošlje akreditacijsko poročilo vlagatelju, ki lahko nanj da svoje pripombe v enem mesecu od njegovega prejema. Če vlagatelj v tem roku pripomb na poročilo ne da, t</w:t>
      </w:r>
      <w:r>
        <w:rPr>
          <w:i/>
          <w:iCs/>
          <w:sz w:val="16"/>
          <w:szCs w:val="16"/>
        </w:rPr>
        <w:t>o postane konč</w:t>
      </w:r>
      <w:r>
        <w:rPr>
          <w:i/>
          <w:iCs/>
          <w:sz w:val="16"/>
          <w:szCs w:val="16"/>
          <w:lang w:val="it-IT"/>
        </w:rPr>
        <w:t xml:space="preserve">no. </w:t>
      </w:r>
      <w:r>
        <w:rPr>
          <w:i/>
          <w:iCs/>
          <w:sz w:val="16"/>
          <w:szCs w:val="16"/>
        </w:rPr>
        <w:t>Če pripombe da, skupina strokovnjakov v enem mesecu od njihovega prejema pripravi končno akreditacijsko poročilo, v katerem se opredeli do vseh pripomb.)</w:t>
      </w:r>
    </w:p>
    <w:p w:rsidR="004547F6" w:rsidRDefault="004547F6">
      <w:pPr>
        <w:pStyle w:val="Body"/>
      </w:pPr>
    </w:p>
    <w:p w:rsidR="004547F6" w:rsidRDefault="004547F6">
      <w:pPr>
        <w:pStyle w:val="Body"/>
      </w:pPr>
    </w:p>
    <w:p w:rsidR="004547F6" w:rsidRDefault="004547F6">
      <w:pPr>
        <w:pStyle w:val="Body"/>
        <w:rPr>
          <w:i/>
          <w:iCs/>
          <w:color w:val="808080"/>
          <w:u w:color="808080"/>
        </w:rPr>
      </w:pPr>
    </w:p>
    <w:p w:rsidR="004547F6" w:rsidRDefault="004547F6">
      <w:pPr>
        <w:pStyle w:val="Body"/>
      </w:pPr>
    </w:p>
    <w:p w:rsidR="004547F6" w:rsidRDefault="005244D5">
      <w:pPr>
        <w:pStyle w:val="Body"/>
        <w:spacing w:after="200" w:line="276" w:lineRule="auto"/>
        <w:jc w:val="left"/>
      </w:pPr>
      <w:r>
        <w:rPr>
          <w:rFonts w:ascii="Arial Unicode MS" w:hAnsi="Arial Unicode MS"/>
        </w:rPr>
        <w:br w:type="page"/>
      </w:r>
    </w:p>
    <w:p w:rsidR="004547F6" w:rsidRDefault="005244D5">
      <w:pPr>
        <w:pStyle w:val="Body"/>
        <w:spacing w:after="200" w:line="276" w:lineRule="auto"/>
        <w:jc w:val="left"/>
        <w:rPr>
          <w:b/>
          <w:bCs/>
        </w:rPr>
      </w:pPr>
      <w:r>
        <w:rPr>
          <w:b/>
          <w:bCs/>
        </w:rPr>
        <w:t>UGOTOVLJENO DEJANSKO STANJE IN NJEGOVA PRESOJA</w:t>
      </w:r>
    </w:p>
    <w:p w:rsidR="004547F6" w:rsidRDefault="005244D5">
      <w:pPr>
        <w:pStyle w:val="Body"/>
        <w:spacing w:after="200"/>
        <w:rPr>
          <w:b/>
          <w:bCs/>
          <w:color w:val="BFBFBF"/>
          <w:u w:color="BFBFBF"/>
        </w:rPr>
      </w:pPr>
      <w:r>
        <w:rPr>
          <w:b/>
          <w:bCs/>
          <w:color w:val="BFBFBF"/>
          <w:u w:color="BFBFBF"/>
        </w:rPr>
        <w:t>Temeljna usmeritev za presojo p</w:t>
      </w:r>
      <w:r>
        <w:rPr>
          <w:b/>
          <w:bCs/>
          <w:color w:val="BFBFBF"/>
          <w:u w:color="BFBFBF"/>
        </w:rPr>
        <w:t xml:space="preserve">o posameznih standardih: </w:t>
      </w:r>
    </w:p>
    <w:p w:rsidR="004547F6" w:rsidRDefault="005244D5">
      <w:pPr>
        <w:pStyle w:val="Body"/>
        <w:spacing w:after="200"/>
        <w:rPr>
          <w:b/>
          <w:bCs/>
          <w:color w:val="BFBFBF"/>
          <w:u w:color="BFBFBF"/>
        </w:rPr>
      </w:pPr>
      <w:r>
        <w:rPr>
          <w:b/>
          <w:bCs/>
          <w:color w:val="BFBFBF"/>
          <w:u w:color="BFBFBF"/>
        </w:rPr>
        <w:t>Skupina strokovnjakov vsak predpisani standard kakovosti presoja na dveh ravneh v skladu z določbami o presoji, ki so podrobneje opredeljene v V. poglavju meril (OBRAZCI VLOG). Na prvi objektivno presodi in z argumenti podpre izpo</w:t>
      </w:r>
      <w:r>
        <w:rPr>
          <w:b/>
          <w:bCs/>
          <w:color w:val="BFBFBF"/>
          <w:u w:color="BFBFBF"/>
        </w:rPr>
        <w:t>lnjevanje standarda. S tem presoja skladnost, obstoj ali izvajanje predpisanega. Na drugi ravni pa ugotovljeno stanje kvalitativno vrednoti v obsegu nad (ali pa pod) sprejemljivim in s tem presodi tudi kakovost. Na tej ravni presoje z argumenti strokovno o</w:t>
      </w:r>
      <w:r>
        <w:rPr>
          <w:b/>
          <w:bCs/>
          <w:color w:val="BFBFBF"/>
          <w:u w:color="BFBFBF"/>
        </w:rPr>
        <w:t xml:space="preserve">ceni, kaj je zelo dobro, dobro, kaj ni oziroma kaj bi lahko bilo bolje. Če je nekaj skladno s predpisom, še ni nujno dobro. Nasprotno nekaj ni nujno slabo, če ni (povsem) skladno s predpisom, saj je visoko šolstvo raznoliko, dobro pa se lahko skriva ravno </w:t>
      </w:r>
      <w:r>
        <w:rPr>
          <w:b/>
          <w:bCs/>
          <w:color w:val="BFBFBF"/>
          <w:u w:color="BFBFBF"/>
        </w:rPr>
        <w:t>v posebnosti ali izjemnosti. Medtem ko nekateri standardi kakovosti vsebujejo kvalifikatorje, kot je '</w:t>
      </w:r>
      <w:r>
        <w:rPr>
          <w:b/>
          <w:bCs/>
          <w:i/>
          <w:iCs/>
          <w:color w:val="BFBFBF"/>
          <w:u w:color="BFBFBF"/>
        </w:rPr>
        <w:t>kakovosten</w:t>
      </w:r>
      <w:r>
        <w:rPr>
          <w:b/>
          <w:bCs/>
          <w:color w:val="BFBFBF"/>
          <w:u w:color="BFBFBF"/>
        </w:rPr>
        <w:t>', drugi izrecno sprašujejo zgolj po primernosti, ustreznosti ali le obstoju oziroma izvajanju nečesa. Skupina strokovnjakov temu navkljub vsele</w:t>
      </w:r>
      <w:r>
        <w:rPr>
          <w:b/>
          <w:bCs/>
          <w:color w:val="BFBFBF"/>
          <w:u w:color="BFBFBF"/>
        </w:rPr>
        <w:t xml:space="preserve">j presoja na dveh ravneh – iz prve ravni na koncu posameznega standarda povzame morebitne neskladnosti ali večje pomanjkljivosti, iz druge pa prednosti in priložnosti za izboljšanje, tako kot izhajajo iz ugotovitev in ocen, in ne po načelu, da morajo biti </w:t>
      </w:r>
      <w:r>
        <w:rPr>
          <w:b/>
          <w:bCs/>
          <w:color w:val="BFBFBF"/>
          <w:u w:color="BFBFBF"/>
        </w:rPr>
        <w:t>številčno uravnotežene, ali po kakšnem drugem načelu.</w:t>
      </w:r>
    </w:p>
    <w:tbl>
      <w:tblPr>
        <w:tblW w:w="90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062"/>
      </w:tblGrid>
      <w:tr w:rsidR="004547F6">
        <w:trPr>
          <w:trHeight w:val="250"/>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4547F6" w:rsidRDefault="005244D5">
            <w:pPr>
              <w:pStyle w:val="Body"/>
              <w:spacing w:line="276" w:lineRule="auto"/>
              <w:jc w:val="left"/>
            </w:pPr>
            <w:r>
              <w:rPr>
                <w:b/>
                <w:bCs/>
                <w:lang w:val="en-US"/>
              </w:rPr>
              <w:t>AKREDITACIJA DISLOCIRANE ENOTE</w:t>
            </w:r>
          </w:p>
        </w:tc>
      </w:tr>
    </w:tbl>
    <w:p w:rsidR="004547F6" w:rsidRDefault="004547F6">
      <w:pPr>
        <w:pStyle w:val="Body"/>
        <w:widowControl w:val="0"/>
        <w:spacing w:after="200"/>
        <w:rPr>
          <w:b/>
          <w:bCs/>
          <w:color w:val="BFBFBF"/>
          <w:u w:color="BFBFBF"/>
        </w:rPr>
      </w:pPr>
    </w:p>
    <w:p w:rsidR="004547F6" w:rsidRDefault="004547F6">
      <w:pPr>
        <w:pStyle w:val="BalloonText"/>
        <w:shd w:val="clear" w:color="auto" w:fill="FFFFFF"/>
        <w:rPr>
          <w:rFonts w:ascii="Verdana" w:eastAsia="Verdana" w:hAnsi="Verdana" w:cs="Verdana"/>
          <w:b/>
          <w:bCs/>
          <w:sz w:val="20"/>
          <w:szCs w:val="20"/>
        </w:rPr>
      </w:pPr>
    </w:p>
    <w:tbl>
      <w:tblPr>
        <w:tblW w:w="90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062"/>
      </w:tblGrid>
      <w:tr w:rsidR="004547F6">
        <w:trPr>
          <w:trHeight w:val="730"/>
        </w:trPr>
        <w:tc>
          <w:tcPr>
            <w:tcW w:w="90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547F6" w:rsidRDefault="005244D5">
            <w:pPr>
              <w:pStyle w:val="BalloonText"/>
              <w:shd w:val="clear" w:color="auto" w:fill="FFFFFF"/>
            </w:pPr>
            <w:r>
              <w:rPr>
                <w:rFonts w:ascii="Verdana" w:hAnsi="Verdana"/>
                <w:b/>
                <w:bCs/>
                <w:sz w:val="20"/>
                <w:szCs w:val="20"/>
              </w:rPr>
              <w:t>1. Primernost prostorov, opreme, knji</w:t>
            </w:r>
            <w:r>
              <w:rPr>
                <w:rFonts w:ascii="Verdana" w:hAnsi="Verdana"/>
                <w:b/>
                <w:bCs/>
                <w:sz w:val="20"/>
                <w:szCs w:val="20"/>
              </w:rPr>
              <w:t>ž</w:t>
            </w:r>
            <w:r>
              <w:rPr>
                <w:rFonts w:ascii="Verdana" w:hAnsi="Verdana"/>
                <w:b/>
                <w:bCs/>
                <w:sz w:val="20"/>
                <w:szCs w:val="20"/>
              </w:rPr>
              <w:t>nice oziroma dostopa do ustrezne literature in informacijsko-komunikacijske tehnologije</w:t>
            </w:r>
          </w:p>
        </w:tc>
      </w:tr>
    </w:tbl>
    <w:p w:rsidR="004547F6" w:rsidRDefault="004547F6">
      <w:pPr>
        <w:pStyle w:val="BalloonText"/>
        <w:widowControl w:val="0"/>
        <w:shd w:val="clear" w:color="auto" w:fill="FFFFFF"/>
        <w:rPr>
          <w:rFonts w:ascii="Verdana" w:eastAsia="Verdana" w:hAnsi="Verdana" w:cs="Verdana"/>
          <w:b/>
          <w:bCs/>
          <w:sz w:val="20"/>
          <w:szCs w:val="20"/>
        </w:rPr>
      </w:pPr>
    </w:p>
    <w:p w:rsidR="004547F6" w:rsidRDefault="004547F6">
      <w:pPr>
        <w:pStyle w:val="Body"/>
      </w:pPr>
    </w:p>
    <w:p w:rsidR="004547F6" w:rsidRDefault="005244D5">
      <w:pPr>
        <w:pStyle w:val="BalloonText"/>
        <w:shd w:val="clear" w:color="auto" w:fill="FFFFFF"/>
        <w:rPr>
          <w:rFonts w:ascii="Verdana" w:eastAsia="Verdana" w:hAnsi="Verdana" w:cs="Verdana"/>
          <w:color w:val="0070C0"/>
          <w:sz w:val="20"/>
          <w:szCs w:val="20"/>
          <w:u w:color="0070C0"/>
        </w:rPr>
      </w:pPr>
      <w:r>
        <w:rPr>
          <w:rFonts w:ascii="Verdana" w:hAnsi="Verdana"/>
          <w:color w:val="0070C0"/>
          <w:sz w:val="20"/>
          <w:szCs w:val="20"/>
          <w:u w:color="0070C0"/>
        </w:rPr>
        <w:t>Na obisku prostorov CPU (Kardeljeva plo</w:t>
      </w:r>
      <w:r>
        <w:rPr>
          <w:rFonts w:ascii="Verdana" w:hAnsi="Verdana"/>
          <w:color w:val="0070C0"/>
          <w:sz w:val="20"/>
          <w:szCs w:val="20"/>
          <w:u w:color="0070C0"/>
        </w:rPr>
        <w:t>šč</w:t>
      </w:r>
      <w:r>
        <w:rPr>
          <w:rFonts w:ascii="Verdana" w:hAnsi="Verdana"/>
          <w:color w:val="0070C0"/>
          <w:sz w:val="20"/>
          <w:szCs w:val="20"/>
          <w:u w:color="0070C0"/>
        </w:rPr>
        <w:t>ad 27a, Ljubljana), kjer bo dislocirana enota Fakultete za logistiko Univerze v Mariboru, smo lahko ugotovili, da so u</w:t>
      </w:r>
      <w:r>
        <w:rPr>
          <w:rFonts w:ascii="Verdana" w:hAnsi="Verdana"/>
          <w:color w:val="0070C0"/>
          <w:sz w:val="20"/>
          <w:szCs w:val="20"/>
          <w:u w:color="0070C0"/>
        </w:rPr>
        <w:t>č</w:t>
      </w:r>
      <w:r>
        <w:rPr>
          <w:rFonts w:ascii="Verdana" w:hAnsi="Verdana"/>
          <w:color w:val="0070C0"/>
          <w:sz w:val="20"/>
          <w:szCs w:val="20"/>
          <w:u w:color="0070C0"/>
        </w:rPr>
        <w:t>ilnice, ra</w:t>
      </w:r>
      <w:r>
        <w:rPr>
          <w:rFonts w:ascii="Verdana" w:hAnsi="Verdana"/>
          <w:color w:val="0070C0"/>
          <w:sz w:val="20"/>
          <w:szCs w:val="20"/>
          <w:u w:color="0070C0"/>
        </w:rPr>
        <w:t>č</w:t>
      </w:r>
      <w:r>
        <w:rPr>
          <w:rFonts w:ascii="Verdana" w:hAnsi="Verdana"/>
          <w:color w:val="0070C0"/>
          <w:sz w:val="20"/>
          <w:szCs w:val="20"/>
          <w:u w:color="0070C0"/>
        </w:rPr>
        <w:t>unalni</w:t>
      </w:r>
      <w:r>
        <w:rPr>
          <w:rFonts w:ascii="Verdana" w:hAnsi="Verdana"/>
          <w:color w:val="0070C0"/>
          <w:sz w:val="20"/>
          <w:szCs w:val="20"/>
          <w:u w:color="0070C0"/>
        </w:rPr>
        <w:t>š</w:t>
      </w:r>
      <w:r>
        <w:rPr>
          <w:rFonts w:ascii="Verdana" w:hAnsi="Verdana"/>
          <w:color w:val="0070C0"/>
          <w:sz w:val="20"/>
          <w:szCs w:val="20"/>
          <w:u w:color="0070C0"/>
        </w:rPr>
        <w:t>ke u</w:t>
      </w:r>
      <w:r>
        <w:rPr>
          <w:rFonts w:ascii="Verdana" w:hAnsi="Verdana"/>
          <w:color w:val="0070C0"/>
          <w:sz w:val="20"/>
          <w:szCs w:val="20"/>
          <w:u w:color="0070C0"/>
        </w:rPr>
        <w:t>č</w:t>
      </w:r>
      <w:r>
        <w:rPr>
          <w:rFonts w:ascii="Verdana" w:hAnsi="Verdana"/>
          <w:color w:val="0070C0"/>
          <w:sz w:val="20"/>
          <w:szCs w:val="20"/>
          <w:u w:color="0070C0"/>
        </w:rPr>
        <w:t xml:space="preserve">ilnice in vsi drugi prostori povsem primerni za izvedbo pouka v okviru univerzitetnega </w:t>
      </w:r>
      <w:r>
        <w:rPr>
          <w:rFonts w:ascii="Verdana" w:hAnsi="Verdana"/>
          <w:color w:val="0070C0"/>
          <w:sz w:val="20"/>
          <w:szCs w:val="20"/>
          <w:u w:color="0070C0"/>
        </w:rPr>
        <w:t>š</w:t>
      </w:r>
      <w:r>
        <w:rPr>
          <w:rFonts w:ascii="Verdana" w:hAnsi="Verdana"/>
          <w:color w:val="0070C0"/>
          <w:sz w:val="20"/>
          <w:szCs w:val="20"/>
          <w:u w:color="0070C0"/>
        </w:rPr>
        <w:t>tudija prve stopnje Logi</w:t>
      </w:r>
      <w:r>
        <w:rPr>
          <w:rFonts w:ascii="Verdana" w:hAnsi="Verdana"/>
          <w:color w:val="0070C0"/>
          <w:sz w:val="20"/>
          <w:szCs w:val="20"/>
          <w:u w:color="0070C0"/>
        </w:rPr>
        <w:t>stika.</w:t>
      </w:r>
    </w:p>
    <w:p w:rsidR="004547F6" w:rsidRDefault="004547F6">
      <w:pPr>
        <w:pStyle w:val="BalloonText"/>
        <w:shd w:val="clear" w:color="auto" w:fill="FFFFFF"/>
        <w:rPr>
          <w:rFonts w:ascii="Verdana" w:eastAsia="Verdana" w:hAnsi="Verdana" w:cs="Verdana"/>
          <w:color w:val="0070C0"/>
          <w:sz w:val="20"/>
          <w:szCs w:val="20"/>
          <w:u w:color="0070C0"/>
        </w:rPr>
      </w:pPr>
    </w:p>
    <w:p w:rsidR="004547F6" w:rsidRDefault="005244D5">
      <w:pPr>
        <w:pStyle w:val="BalloonText"/>
        <w:shd w:val="clear" w:color="auto" w:fill="FFFFFF"/>
        <w:rPr>
          <w:rFonts w:ascii="Verdana" w:eastAsia="Verdana" w:hAnsi="Verdana" w:cs="Verdana"/>
          <w:color w:val="0070C0"/>
          <w:sz w:val="20"/>
          <w:szCs w:val="20"/>
          <w:u w:color="0070C0"/>
        </w:rPr>
      </w:pPr>
      <w:r>
        <w:rPr>
          <w:rFonts w:ascii="Verdana" w:hAnsi="Verdana"/>
          <w:color w:val="0070C0"/>
          <w:sz w:val="20"/>
          <w:szCs w:val="20"/>
          <w:u w:color="0070C0"/>
        </w:rPr>
        <w:t>Zavodu bodo v prostorih CPU na voljo 3 u</w:t>
      </w:r>
      <w:r>
        <w:rPr>
          <w:rFonts w:ascii="Verdana" w:hAnsi="Verdana"/>
          <w:color w:val="0070C0"/>
          <w:sz w:val="20"/>
          <w:szCs w:val="20"/>
          <w:u w:color="0070C0"/>
        </w:rPr>
        <w:t>č</w:t>
      </w:r>
      <w:r>
        <w:rPr>
          <w:rFonts w:ascii="Verdana" w:hAnsi="Verdana"/>
          <w:color w:val="0070C0"/>
          <w:sz w:val="20"/>
          <w:szCs w:val="20"/>
          <w:u w:color="0070C0"/>
        </w:rPr>
        <w:t>ilnice (1 klasi</w:t>
      </w:r>
      <w:r>
        <w:rPr>
          <w:rFonts w:ascii="Verdana" w:hAnsi="Verdana"/>
          <w:color w:val="0070C0"/>
          <w:sz w:val="20"/>
          <w:szCs w:val="20"/>
          <w:u w:color="0070C0"/>
        </w:rPr>
        <w:t>č</w:t>
      </w:r>
      <w:r>
        <w:rPr>
          <w:rFonts w:ascii="Verdana" w:hAnsi="Verdana"/>
          <w:color w:val="0070C0"/>
          <w:sz w:val="20"/>
          <w:szCs w:val="20"/>
          <w:u w:color="0070C0"/>
        </w:rPr>
        <w:t>na, 1 kombinirana z ra</w:t>
      </w:r>
      <w:r>
        <w:rPr>
          <w:rFonts w:ascii="Verdana" w:hAnsi="Verdana"/>
          <w:color w:val="0070C0"/>
          <w:sz w:val="20"/>
          <w:szCs w:val="20"/>
          <w:u w:color="0070C0"/>
        </w:rPr>
        <w:t>č</w:t>
      </w:r>
      <w:r>
        <w:rPr>
          <w:rFonts w:ascii="Verdana" w:hAnsi="Verdana"/>
          <w:color w:val="0070C0"/>
          <w:sz w:val="20"/>
          <w:szCs w:val="20"/>
          <w:u w:color="0070C0"/>
        </w:rPr>
        <w:t>unalniki in 1 ra</w:t>
      </w:r>
      <w:r>
        <w:rPr>
          <w:rFonts w:ascii="Verdana" w:hAnsi="Verdana"/>
          <w:color w:val="0070C0"/>
          <w:sz w:val="20"/>
          <w:szCs w:val="20"/>
          <w:u w:color="0070C0"/>
        </w:rPr>
        <w:t>č</w:t>
      </w:r>
      <w:r>
        <w:rPr>
          <w:rFonts w:ascii="Verdana" w:hAnsi="Verdana"/>
          <w:color w:val="0070C0"/>
          <w:sz w:val="20"/>
          <w:szCs w:val="20"/>
          <w:u w:color="0070C0"/>
        </w:rPr>
        <w:t>unalni</w:t>
      </w:r>
      <w:r>
        <w:rPr>
          <w:rFonts w:ascii="Verdana" w:hAnsi="Verdana"/>
          <w:color w:val="0070C0"/>
          <w:sz w:val="20"/>
          <w:szCs w:val="20"/>
          <w:u w:color="0070C0"/>
        </w:rPr>
        <w:t>š</w:t>
      </w:r>
      <w:r>
        <w:rPr>
          <w:rFonts w:ascii="Verdana" w:hAnsi="Verdana"/>
          <w:color w:val="0070C0"/>
          <w:sz w:val="20"/>
          <w:szCs w:val="20"/>
          <w:u w:color="0070C0"/>
        </w:rPr>
        <w:t>ka u</w:t>
      </w:r>
      <w:r>
        <w:rPr>
          <w:rFonts w:ascii="Verdana" w:hAnsi="Verdana"/>
          <w:color w:val="0070C0"/>
          <w:sz w:val="20"/>
          <w:szCs w:val="20"/>
          <w:u w:color="0070C0"/>
        </w:rPr>
        <w:t>č</w:t>
      </w:r>
      <w:r>
        <w:rPr>
          <w:rFonts w:ascii="Verdana" w:hAnsi="Verdana"/>
          <w:color w:val="0070C0"/>
          <w:sz w:val="20"/>
          <w:szCs w:val="20"/>
          <w:u w:color="0070C0"/>
        </w:rPr>
        <w:t xml:space="preserve">ilnica), pri </w:t>
      </w:r>
      <w:r>
        <w:rPr>
          <w:rFonts w:ascii="Verdana" w:hAnsi="Verdana"/>
          <w:color w:val="0070C0"/>
          <w:sz w:val="20"/>
          <w:szCs w:val="20"/>
          <w:u w:color="0070C0"/>
        </w:rPr>
        <w:t>č</w:t>
      </w:r>
      <w:r>
        <w:rPr>
          <w:rFonts w:ascii="Verdana" w:hAnsi="Verdana"/>
          <w:color w:val="0070C0"/>
          <w:sz w:val="20"/>
          <w:szCs w:val="20"/>
          <w:u w:color="0070C0"/>
        </w:rPr>
        <w:t>emer ima zavod na podlagi dogovora z lastnikom objekta mo</w:t>
      </w:r>
      <w:r>
        <w:rPr>
          <w:rFonts w:ascii="Verdana" w:hAnsi="Verdana"/>
          <w:color w:val="0070C0"/>
          <w:sz w:val="20"/>
          <w:szCs w:val="20"/>
          <w:u w:color="0070C0"/>
        </w:rPr>
        <w:t>ž</w:t>
      </w:r>
      <w:r>
        <w:rPr>
          <w:rFonts w:ascii="Verdana" w:hAnsi="Verdana"/>
          <w:color w:val="0070C0"/>
          <w:sz w:val="20"/>
          <w:szCs w:val="20"/>
          <w:u w:color="0070C0"/>
        </w:rPr>
        <w:t xml:space="preserve">nost prilagajanja izbire, glede na </w:t>
      </w:r>
      <w:r>
        <w:rPr>
          <w:rFonts w:ascii="Verdana" w:hAnsi="Verdana"/>
          <w:color w:val="0070C0"/>
          <w:sz w:val="20"/>
          <w:szCs w:val="20"/>
          <w:u w:color="0070C0"/>
        </w:rPr>
        <w:t>š</w:t>
      </w:r>
      <w:r>
        <w:rPr>
          <w:rFonts w:ascii="Verdana" w:hAnsi="Verdana"/>
          <w:color w:val="0070C0"/>
          <w:sz w:val="20"/>
          <w:szCs w:val="20"/>
          <w:u w:color="0070C0"/>
        </w:rPr>
        <w:t xml:space="preserve">tevilo vpisanih </w:t>
      </w:r>
      <w:r>
        <w:rPr>
          <w:rFonts w:ascii="Verdana" w:hAnsi="Verdana"/>
          <w:color w:val="0070C0"/>
          <w:sz w:val="20"/>
          <w:szCs w:val="20"/>
          <w:u w:color="0070C0"/>
        </w:rPr>
        <w:t>š</w:t>
      </w:r>
      <w:r>
        <w:rPr>
          <w:rFonts w:ascii="Verdana" w:hAnsi="Verdana"/>
          <w:color w:val="0070C0"/>
          <w:sz w:val="20"/>
          <w:szCs w:val="20"/>
          <w:u w:color="0070C0"/>
        </w:rPr>
        <w:t xml:space="preserve">tudentov. Vse </w:t>
      </w:r>
      <w:r>
        <w:rPr>
          <w:rFonts w:ascii="Verdana" w:hAnsi="Verdana"/>
          <w:color w:val="0070C0"/>
          <w:sz w:val="20"/>
          <w:szCs w:val="20"/>
          <w:u w:color="0070C0"/>
        </w:rPr>
        <w:t>u</w:t>
      </w:r>
      <w:r>
        <w:rPr>
          <w:rFonts w:ascii="Verdana" w:hAnsi="Verdana"/>
          <w:color w:val="0070C0"/>
          <w:sz w:val="20"/>
          <w:szCs w:val="20"/>
          <w:u w:color="0070C0"/>
        </w:rPr>
        <w:t>č</w:t>
      </w:r>
      <w:r>
        <w:rPr>
          <w:rFonts w:ascii="Verdana" w:hAnsi="Verdana"/>
          <w:color w:val="0070C0"/>
          <w:sz w:val="20"/>
          <w:szCs w:val="20"/>
          <w:u w:color="0070C0"/>
        </w:rPr>
        <w:t>ilnice so primerno opremljene s klasi</w:t>
      </w:r>
      <w:r>
        <w:rPr>
          <w:rFonts w:ascii="Verdana" w:hAnsi="Verdana"/>
          <w:color w:val="0070C0"/>
          <w:sz w:val="20"/>
          <w:szCs w:val="20"/>
          <w:u w:color="0070C0"/>
        </w:rPr>
        <w:t>č</w:t>
      </w:r>
      <w:r w:rsidRPr="005A511D">
        <w:rPr>
          <w:rFonts w:ascii="Verdana" w:hAnsi="Verdana"/>
          <w:color w:val="0070C0"/>
          <w:sz w:val="20"/>
          <w:szCs w:val="20"/>
          <w:u w:color="0070C0"/>
        </w:rPr>
        <w:t>no tablo in ra</w:t>
      </w:r>
      <w:r>
        <w:rPr>
          <w:rFonts w:ascii="Verdana" w:hAnsi="Verdana"/>
          <w:color w:val="0070C0"/>
          <w:sz w:val="20"/>
          <w:szCs w:val="20"/>
          <w:u w:color="0070C0"/>
        </w:rPr>
        <w:t>č</w:t>
      </w:r>
      <w:r>
        <w:rPr>
          <w:rFonts w:ascii="Verdana" w:hAnsi="Verdana"/>
          <w:color w:val="0070C0"/>
          <w:sz w:val="20"/>
          <w:szCs w:val="20"/>
          <w:u w:color="0070C0"/>
        </w:rPr>
        <w:t>unalnikom ter projektorjem.</w:t>
      </w:r>
    </w:p>
    <w:p w:rsidR="004547F6" w:rsidRDefault="004547F6">
      <w:pPr>
        <w:pStyle w:val="BalloonText"/>
        <w:shd w:val="clear" w:color="auto" w:fill="FFFFFF"/>
        <w:rPr>
          <w:rFonts w:ascii="Verdana" w:eastAsia="Verdana" w:hAnsi="Verdana" w:cs="Verdana"/>
          <w:color w:val="0070C0"/>
          <w:sz w:val="20"/>
          <w:szCs w:val="20"/>
          <w:u w:color="0070C0"/>
        </w:rPr>
      </w:pPr>
    </w:p>
    <w:p w:rsidR="004547F6" w:rsidRDefault="005244D5">
      <w:pPr>
        <w:pStyle w:val="BalloonText"/>
        <w:shd w:val="clear" w:color="auto" w:fill="FFFFFF"/>
        <w:rPr>
          <w:rFonts w:ascii="Verdana" w:eastAsia="Verdana" w:hAnsi="Verdana" w:cs="Verdana"/>
          <w:color w:val="0070C0"/>
          <w:sz w:val="20"/>
          <w:szCs w:val="20"/>
          <w:u w:color="0070C0"/>
        </w:rPr>
      </w:pPr>
      <w:r>
        <w:rPr>
          <w:rFonts w:ascii="Verdana" w:hAnsi="Verdana"/>
          <w:color w:val="0070C0"/>
          <w:sz w:val="20"/>
          <w:szCs w:val="20"/>
          <w:u w:color="0070C0"/>
        </w:rPr>
        <w:t>Izmed zgoraj omenjenih u</w:t>
      </w:r>
      <w:r>
        <w:rPr>
          <w:rFonts w:ascii="Verdana" w:hAnsi="Verdana"/>
          <w:color w:val="0070C0"/>
          <w:sz w:val="20"/>
          <w:szCs w:val="20"/>
          <w:u w:color="0070C0"/>
        </w:rPr>
        <w:t>č</w:t>
      </w:r>
      <w:r>
        <w:rPr>
          <w:rFonts w:ascii="Verdana" w:hAnsi="Verdana"/>
          <w:color w:val="0070C0"/>
          <w:sz w:val="20"/>
          <w:szCs w:val="20"/>
          <w:u w:color="0070C0"/>
        </w:rPr>
        <w:t>ilnic, sta dve opremljeni z ra</w:t>
      </w:r>
      <w:r>
        <w:rPr>
          <w:rFonts w:ascii="Verdana" w:hAnsi="Verdana"/>
          <w:color w:val="0070C0"/>
          <w:sz w:val="20"/>
          <w:szCs w:val="20"/>
          <w:u w:color="0070C0"/>
        </w:rPr>
        <w:t>č</w:t>
      </w:r>
      <w:r>
        <w:rPr>
          <w:rFonts w:ascii="Verdana" w:hAnsi="Verdana"/>
          <w:color w:val="0070C0"/>
          <w:sz w:val="20"/>
          <w:szCs w:val="20"/>
          <w:u w:color="0070C0"/>
        </w:rPr>
        <w:t>unalniki, ki omogo</w:t>
      </w:r>
      <w:r>
        <w:rPr>
          <w:rFonts w:ascii="Verdana" w:hAnsi="Verdana"/>
          <w:color w:val="0070C0"/>
          <w:sz w:val="20"/>
          <w:szCs w:val="20"/>
          <w:u w:color="0070C0"/>
        </w:rPr>
        <w:t>č</w:t>
      </w:r>
      <w:r>
        <w:rPr>
          <w:rFonts w:ascii="Verdana" w:hAnsi="Verdana"/>
          <w:color w:val="0070C0"/>
          <w:sz w:val="20"/>
          <w:szCs w:val="20"/>
          <w:u w:color="0070C0"/>
        </w:rPr>
        <w:t xml:space="preserve">ajo uporabo programske opreme potrebne za nemoten </w:t>
      </w:r>
      <w:r>
        <w:rPr>
          <w:rFonts w:ascii="Verdana" w:hAnsi="Verdana"/>
          <w:color w:val="0070C0"/>
          <w:sz w:val="20"/>
          <w:szCs w:val="20"/>
          <w:u w:color="0070C0"/>
        </w:rPr>
        <w:t>š</w:t>
      </w:r>
      <w:r>
        <w:rPr>
          <w:rFonts w:ascii="Verdana" w:hAnsi="Verdana"/>
          <w:color w:val="0070C0"/>
          <w:sz w:val="20"/>
          <w:szCs w:val="20"/>
          <w:u w:color="0070C0"/>
        </w:rPr>
        <w:t>tudij. Po pojasnilih podpornega osebja, zadol</w:t>
      </w:r>
      <w:r>
        <w:rPr>
          <w:rFonts w:ascii="Verdana" w:hAnsi="Verdana"/>
          <w:color w:val="0070C0"/>
          <w:sz w:val="20"/>
          <w:szCs w:val="20"/>
          <w:u w:color="0070C0"/>
        </w:rPr>
        <w:t>ž</w:t>
      </w:r>
      <w:r>
        <w:rPr>
          <w:rFonts w:ascii="Verdana" w:hAnsi="Verdana"/>
          <w:color w:val="0070C0"/>
          <w:sz w:val="20"/>
          <w:szCs w:val="20"/>
          <w:u w:color="0070C0"/>
        </w:rPr>
        <w:t>enega za podro</w:t>
      </w:r>
      <w:r>
        <w:rPr>
          <w:rFonts w:ascii="Verdana" w:hAnsi="Verdana"/>
          <w:color w:val="0070C0"/>
          <w:sz w:val="20"/>
          <w:szCs w:val="20"/>
          <w:u w:color="0070C0"/>
        </w:rPr>
        <w:t>č</w:t>
      </w:r>
      <w:r>
        <w:rPr>
          <w:rFonts w:ascii="Verdana" w:hAnsi="Verdana"/>
          <w:color w:val="0070C0"/>
          <w:sz w:val="20"/>
          <w:szCs w:val="20"/>
          <w:u w:color="0070C0"/>
        </w:rPr>
        <w:t>je IT, ra</w:t>
      </w:r>
      <w:r>
        <w:rPr>
          <w:rFonts w:ascii="Verdana" w:hAnsi="Verdana"/>
          <w:color w:val="0070C0"/>
          <w:sz w:val="20"/>
          <w:szCs w:val="20"/>
          <w:u w:color="0070C0"/>
        </w:rPr>
        <w:t>č</w:t>
      </w:r>
      <w:r>
        <w:rPr>
          <w:rFonts w:ascii="Verdana" w:hAnsi="Verdana"/>
          <w:color w:val="0070C0"/>
          <w:sz w:val="20"/>
          <w:szCs w:val="20"/>
          <w:u w:color="0070C0"/>
        </w:rPr>
        <w:t>unalni</w:t>
      </w:r>
      <w:r>
        <w:rPr>
          <w:rFonts w:ascii="Verdana" w:hAnsi="Verdana"/>
          <w:color w:val="0070C0"/>
          <w:sz w:val="20"/>
          <w:szCs w:val="20"/>
          <w:u w:color="0070C0"/>
        </w:rPr>
        <w:t>š</w:t>
      </w:r>
      <w:r>
        <w:rPr>
          <w:rFonts w:ascii="Verdana" w:hAnsi="Verdana"/>
          <w:color w:val="0070C0"/>
          <w:sz w:val="20"/>
          <w:szCs w:val="20"/>
          <w:u w:color="0070C0"/>
        </w:rPr>
        <w:t>ka oprema v prostorih zadostuje za teko</w:t>
      </w:r>
      <w:r>
        <w:rPr>
          <w:rFonts w:ascii="Verdana" w:hAnsi="Verdana"/>
          <w:color w:val="0070C0"/>
          <w:sz w:val="20"/>
          <w:szCs w:val="20"/>
          <w:u w:color="0070C0"/>
        </w:rPr>
        <w:t>č</w:t>
      </w:r>
      <w:r>
        <w:rPr>
          <w:rFonts w:ascii="Verdana" w:hAnsi="Verdana"/>
          <w:color w:val="0070C0"/>
          <w:sz w:val="20"/>
          <w:szCs w:val="20"/>
          <w:u w:color="0070C0"/>
        </w:rPr>
        <w:t>o uporabo vse relevantne programske opreme. V primeru pojava morebitnih te</w:t>
      </w:r>
      <w:r>
        <w:rPr>
          <w:rFonts w:ascii="Verdana" w:hAnsi="Verdana"/>
          <w:color w:val="0070C0"/>
          <w:sz w:val="20"/>
          <w:szCs w:val="20"/>
          <w:u w:color="0070C0"/>
        </w:rPr>
        <w:t>ž</w:t>
      </w:r>
      <w:r>
        <w:rPr>
          <w:rFonts w:ascii="Verdana" w:hAnsi="Verdana"/>
          <w:color w:val="0070C0"/>
          <w:sz w:val="20"/>
          <w:szCs w:val="20"/>
          <w:u w:color="0070C0"/>
        </w:rPr>
        <w:t>av pri delovanju posameznih programov, pa ima zavod vzpostavljeno tudi mo</w:t>
      </w:r>
      <w:r>
        <w:rPr>
          <w:rFonts w:ascii="Verdana" w:hAnsi="Verdana"/>
          <w:color w:val="0070C0"/>
          <w:sz w:val="20"/>
          <w:szCs w:val="20"/>
          <w:u w:color="0070C0"/>
        </w:rPr>
        <w:t>ž</w:t>
      </w:r>
      <w:r>
        <w:rPr>
          <w:rFonts w:ascii="Verdana" w:hAnsi="Verdana"/>
          <w:color w:val="0070C0"/>
          <w:sz w:val="20"/>
          <w:szCs w:val="20"/>
          <w:u w:color="0070C0"/>
        </w:rPr>
        <w:t>nost oddaljenega dostopa do ra</w:t>
      </w:r>
      <w:r>
        <w:rPr>
          <w:rFonts w:ascii="Verdana" w:hAnsi="Verdana"/>
          <w:color w:val="0070C0"/>
          <w:sz w:val="20"/>
          <w:szCs w:val="20"/>
          <w:u w:color="0070C0"/>
        </w:rPr>
        <w:t>č</w:t>
      </w:r>
      <w:r>
        <w:rPr>
          <w:rFonts w:ascii="Verdana" w:hAnsi="Verdana"/>
          <w:color w:val="0070C0"/>
          <w:sz w:val="20"/>
          <w:szCs w:val="20"/>
          <w:u w:color="0070C0"/>
        </w:rPr>
        <w:t>unal</w:t>
      </w:r>
      <w:r>
        <w:rPr>
          <w:rFonts w:ascii="Verdana" w:hAnsi="Verdana"/>
          <w:color w:val="0070C0"/>
          <w:sz w:val="20"/>
          <w:szCs w:val="20"/>
          <w:u w:color="0070C0"/>
        </w:rPr>
        <w:t>ni</w:t>
      </w:r>
      <w:r>
        <w:rPr>
          <w:rFonts w:ascii="Verdana" w:hAnsi="Verdana"/>
          <w:color w:val="0070C0"/>
          <w:sz w:val="20"/>
          <w:szCs w:val="20"/>
          <w:u w:color="0070C0"/>
        </w:rPr>
        <w:t>š</w:t>
      </w:r>
      <w:r>
        <w:rPr>
          <w:rFonts w:ascii="Verdana" w:hAnsi="Verdana"/>
          <w:color w:val="0070C0"/>
          <w:sz w:val="20"/>
          <w:szCs w:val="20"/>
          <w:u w:color="0070C0"/>
        </w:rPr>
        <w:t>ke opreme, ki se nahaja na mati</w:t>
      </w:r>
      <w:r>
        <w:rPr>
          <w:rFonts w:ascii="Verdana" w:hAnsi="Verdana"/>
          <w:color w:val="0070C0"/>
          <w:sz w:val="20"/>
          <w:szCs w:val="20"/>
          <w:u w:color="0070C0"/>
        </w:rPr>
        <w:t>č</w:t>
      </w:r>
      <w:r>
        <w:rPr>
          <w:rFonts w:ascii="Verdana" w:hAnsi="Verdana"/>
          <w:color w:val="0070C0"/>
          <w:sz w:val="20"/>
          <w:szCs w:val="20"/>
          <w:u w:color="0070C0"/>
        </w:rPr>
        <w:t>ni enoti v Celju, kjer je sicer sede</w:t>
      </w:r>
      <w:r>
        <w:rPr>
          <w:rFonts w:ascii="Verdana" w:hAnsi="Verdana"/>
          <w:color w:val="0070C0"/>
          <w:sz w:val="20"/>
          <w:szCs w:val="20"/>
          <w:u w:color="0070C0"/>
        </w:rPr>
        <w:t xml:space="preserve">ž </w:t>
      </w:r>
      <w:r>
        <w:rPr>
          <w:rFonts w:ascii="Verdana" w:hAnsi="Verdana"/>
          <w:color w:val="0070C0"/>
          <w:sz w:val="20"/>
          <w:szCs w:val="20"/>
          <w:u w:color="0070C0"/>
        </w:rPr>
        <w:t>Fakultete za logistiko.</w:t>
      </w:r>
    </w:p>
    <w:p w:rsidR="004547F6" w:rsidRDefault="004547F6">
      <w:pPr>
        <w:pStyle w:val="BalloonText"/>
        <w:shd w:val="clear" w:color="auto" w:fill="FFFFFF"/>
        <w:rPr>
          <w:rFonts w:ascii="Verdana" w:eastAsia="Verdana" w:hAnsi="Verdana" w:cs="Verdana"/>
          <w:color w:val="0070C0"/>
          <w:sz w:val="20"/>
          <w:szCs w:val="20"/>
          <w:u w:color="0070C0"/>
        </w:rPr>
      </w:pPr>
    </w:p>
    <w:p w:rsidR="004547F6" w:rsidRDefault="005244D5">
      <w:pPr>
        <w:pStyle w:val="BalloonText"/>
        <w:shd w:val="clear" w:color="auto" w:fill="FFFFFF"/>
        <w:rPr>
          <w:rFonts w:ascii="Verdana" w:eastAsia="Verdana" w:hAnsi="Verdana" w:cs="Verdana"/>
          <w:color w:val="0070C0"/>
          <w:sz w:val="20"/>
          <w:szCs w:val="20"/>
          <w:u w:color="0070C0"/>
        </w:rPr>
      </w:pPr>
      <w:r>
        <w:rPr>
          <w:rFonts w:ascii="Verdana" w:hAnsi="Verdana"/>
          <w:color w:val="0070C0"/>
          <w:sz w:val="20"/>
          <w:szCs w:val="20"/>
          <w:u w:color="0070C0"/>
        </w:rPr>
        <w:t>Ustrezne knji</w:t>
      </w:r>
      <w:r>
        <w:rPr>
          <w:rFonts w:ascii="Verdana" w:hAnsi="Verdana"/>
          <w:color w:val="0070C0"/>
          <w:sz w:val="20"/>
          <w:szCs w:val="20"/>
          <w:u w:color="0070C0"/>
        </w:rPr>
        <w:t>ž</w:t>
      </w:r>
      <w:r>
        <w:rPr>
          <w:rFonts w:ascii="Verdana" w:hAnsi="Verdana"/>
          <w:color w:val="0070C0"/>
          <w:sz w:val="20"/>
          <w:szCs w:val="20"/>
          <w:u w:color="0070C0"/>
        </w:rPr>
        <w:t>nice v prostorih CPU sicer ni, a je zagotovljena manj</w:t>
      </w:r>
      <w:r>
        <w:rPr>
          <w:rFonts w:ascii="Verdana" w:hAnsi="Verdana"/>
          <w:color w:val="0070C0"/>
          <w:sz w:val="20"/>
          <w:szCs w:val="20"/>
          <w:u w:color="0070C0"/>
        </w:rPr>
        <w:t>š</w:t>
      </w:r>
      <w:r>
        <w:rPr>
          <w:rFonts w:ascii="Verdana" w:hAnsi="Verdana"/>
          <w:color w:val="0070C0"/>
          <w:sz w:val="20"/>
          <w:szCs w:val="20"/>
          <w:u w:color="0070C0"/>
        </w:rPr>
        <w:t xml:space="preserve">a sprejemna soba, kjer bo na voljo nekaj osnovne </w:t>
      </w:r>
      <w:r>
        <w:rPr>
          <w:rFonts w:ascii="Verdana" w:hAnsi="Verdana"/>
          <w:color w:val="0070C0"/>
          <w:sz w:val="20"/>
          <w:szCs w:val="20"/>
          <w:u w:color="0070C0"/>
        </w:rPr>
        <w:t>š</w:t>
      </w:r>
      <w:r>
        <w:rPr>
          <w:rFonts w:ascii="Verdana" w:hAnsi="Verdana"/>
          <w:color w:val="0070C0"/>
          <w:sz w:val="20"/>
          <w:szCs w:val="20"/>
          <w:u w:color="0070C0"/>
        </w:rPr>
        <w:t>tudijske literature. Po predhodnem dogov</w:t>
      </w:r>
      <w:r>
        <w:rPr>
          <w:rFonts w:ascii="Verdana" w:hAnsi="Verdana"/>
          <w:color w:val="0070C0"/>
          <w:sz w:val="20"/>
          <w:szCs w:val="20"/>
          <w:u w:color="0070C0"/>
        </w:rPr>
        <w:t>oru oziroma naro</w:t>
      </w:r>
      <w:r>
        <w:rPr>
          <w:rFonts w:ascii="Verdana" w:hAnsi="Verdana"/>
          <w:color w:val="0070C0"/>
          <w:sz w:val="20"/>
          <w:szCs w:val="20"/>
          <w:u w:color="0070C0"/>
        </w:rPr>
        <w:t>č</w:t>
      </w:r>
      <w:r>
        <w:rPr>
          <w:rFonts w:ascii="Verdana" w:hAnsi="Verdana"/>
          <w:color w:val="0070C0"/>
          <w:sz w:val="20"/>
          <w:szCs w:val="20"/>
          <w:u w:color="0070C0"/>
        </w:rPr>
        <w:t xml:space="preserve">ilu preko spleta bodo </w:t>
      </w:r>
      <w:r>
        <w:rPr>
          <w:rFonts w:ascii="Verdana" w:hAnsi="Verdana"/>
          <w:color w:val="0070C0"/>
          <w:sz w:val="20"/>
          <w:szCs w:val="20"/>
          <w:u w:color="0070C0"/>
        </w:rPr>
        <w:t>š</w:t>
      </w:r>
      <w:r>
        <w:rPr>
          <w:rFonts w:ascii="Verdana" w:hAnsi="Verdana"/>
          <w:color w:val="0070C0"/>
          <w:sz w:val="20"/>
          <w:szCs w:val="20"/>
          <w:u w:color="0070C0"/>
        </w:rPr>
        <w:t>tudenti tu lahko prevzeli tudi drugo literaturo, ki je sicer na voljo v mati</w:t>
      </w:r>
      <w:r>
        <w:rPr>
          <w:rFonts w:ascii="Verdana" w:hAnsi="Verdana"/>
          <w:color w:val="0070C0"/>
          <w:sz w:val="20"/>
          <w:szCs w:val="20"/>
          <w:u w:color="0070C0"/>
        </w:rPr>
        <w:t>č</w:t>
      </w:r>
      <w:r>
        <w:rPr>
          <w:rFonts w:ascii="Verdana" w:hAnsi="Verdana"/>
          <w:color w:val="0070C0"/>
          <w:sz w:val="20"/>
          <w:szCs w:val="20"/>
          <w:u w:color="0070C0"/>
        </w:rPr>
        <w:t>ni knji</w:t>
      </w:r>
      <w:r>
        <w:rPr>
          <w:rFonts w:ascii="Verdana" w:hAnsi="Verdana"/>
          <w:color w:val="0070C0"/>
          <w:sz w:val="20"/>
          <w:szCs w:val="20"/>
          <w:u w:color="0070C0"/>
        </w:rPr>
        <w:t>ž</w:t>
      </w:r>
      <w:r>
        <w:rPr>
          <w:rFonts w:ascii="Verdana" w:hAnsi="Verdana"/>
          <w:color w:val="0070C0"/>
          <w:sz w:val="20"/>
          <w:szCs w:val="20"/>
          <w:u w:color="0070C0"/>
        </w:rPr>
        <w:t>nici fakultete v Celju ali kateri drugi knji</w:t>
      </w:r>
      <w:r>
        <w:rPr>
          <w:rFonts w:ascii="Verdana" w:hAnsi="Verdana"/>
          <w:color w:val="0070C0"/>
          <w:sz w:val="20"/>
          <w:szCs w:val="20"/>
          <w:u w:color="0070C0"/>
        </w:rPr>
        <w:t>ž</w:t>
      </w:r>
      <w:r>
        <w:rPr>
          <w:rFonts w:ascii="Verdana" w:hAnsi="Verdana"/>
          <w:color w:val="0070C0"/>
          <w:sz w:val="20"/>
          <w:szCs w:val="20"/>
          <w:u w:color="0070C0"/>
        </w:rPr>
        <w:t>nici znotraj Univerze v Mariboru.</w:t>
      </w:r>
    </w:p>
    <w:p w:rsidR="004547F6" w:rsidRDefault="004547F6">
      <w:pPr>
        <w:pStyle w:val="BalloonText"/>
        <w:shd w:val="clear" w:color="auto" w:fill="FFFFFF"/>
        <w:rPr>
          <w:rFonts w:ascii="Verdana" w:eastAsia="Verdana" w:hAnsi="Verdana" w:cs="Verdana"/>
          <w:color w:val="0070C0"/>
          <w:sz w:val="20"/>
          <w:szCs w:val="20"/>
          <w:u w:color="0070C0"/>
        </w:rPr>
      </w:pPr>
    </w:p>
    <w:p w:rsidR="004547F6" w:rsidRDefault="005244D5">
      <w:pPr>
        <w:pStyle w:val="BalloonText"/>
        <w:shd w:val="clear" w:color="auto" w:fill="FFFFFF"/>
        <w:rPr>
          <w:rFonts w:ascii="Verdana" w:eastAsia="Verdana" w:hAnsi="Verdana" w:cs="Verdana"/>
          <w:color w:val="0070C0"/>
          <w:sz w:val="20"/>
          <w:szCs w:val="20"/>
          <w:u w:color="0070C0"/>
        </w:rPr>
      </w:pPr>
      <w:r>
        <w:rPr>
          <w:rFonts w:ascii="Verdana" w:hAnsi="Verdana"/>
          <w:color w:val="0070C0"/>
          <w:sz w:val="20"/>
          <w:szCs w:val="20"/>
          <w:u w:color="0070C0"/>
        </w:rPr>
        <w:t>Vse druge storitve informacijsko-komunikacijske teh</w:t>
      </w:r>
      <w:r>
        <w:rPr>
          <w:rFonts w:ascii="Verdana" w:hAnsi="Verdana"/>
          <w:color w:val="0070C0"/>
          <w:sz w:val="20"/>
          <w:szCs w:val="20"/>
          <w:u w:color="0070C0"/>
        </w:rPr>
        <w:t>nologije so na voljo v enaki meri, kot na mati</w:t>
      </w:r>
      <w:r>
        <w:rPr>
          <w:rFonts w:ascii="Verdana" w:hAnsi="Verdana"/>
          <w:color w:val="0070C0"/>
          <w:sz w:val="20"/>
          <w:szCs w:val="20"/>
          <w:u w:color="0070C0"/>
        </w:rPr>
        <w:t>č</w:t>
      </w:r>
      <w:r>
        <w:rPr>
          <w:rFonts w:ascii="Verdana" w:hAnsi="Verdana"/>
          <w:color w:val="0070C0"/>
          <w:sz w:val="20"/>
          <w:szCs w:val="20"/>
          <w:u w:color="0070C0"/>
        </w:rPr>
        <w:t>ni fakulteti v Celju. V tej zvezi skupina strokovnjakov izpostavlja predvsem dobro razvit sistem Moodle oziroma e-u</w:t>
      </w:r>
      <w:r>
        <w:rPr>
          <w:rFonts w:ascii="Verdana" w:hAnsi="Verdana"/>
          <w:color w:val="0070C0"/>
          <w:sz w:val="20"/>
          <w:szCs w:val="20"/>
          <w:u w:color="0070C0"/>
        </w:rPr>
        <w:t>č</w:t>
      </w:r>
      <w:r>
        <w:rPr>
          <w:rFonts w:ascii="Verdana" w:hAnsi="Verdana"/>
          <w:color w:val="0070C0"/>
          <w:sz w:val="20"/>
          <w:szCs w:val="20"/>
          <w:u w:color="0070C0"/>
        </w:rPr>
        <w:t xml:space="preserve">ilnico. </w:t>
      </w:r>
      <w:r>
        <w:rPr>
          <w:rFonts w:ascii="Verdana" w:hAnsi="Verdana"/>
          <w:color w:val="0070C0"/>
          <w:sz w:val="20"/>
          <w:szCs w:val="20"/>
          <w:u w:color="0070C0"/>
        </w:rPr>
        <w:t>Š</w:t>
      </w:r>
      <w:r>
        <w:rPr>
          <w:rFonts w:ascii="Verdana" w:hAnsi="Verdana"/>
          <w:color w:val="0070C0"/>
          <w:sz w:val="20"/>
          <w:szCs w:val="20"/>
          <w:u w:color="0070C0"/>
        </w:rPr>
        <w:t>tudentom so preko e-u</w:t>
      </w:r>
      <w:r>
        <w:rPr>
          <w:rFonts w:ascii="Verdana" w:hAnsi="Verdana"/>
          <w:color w:val="0070C0"/>
          <w:sz w:val="20"/>
          <w:szCs w:val="20"/>
          <w:u w:color="0070C0"/>
        </w:rPr>
        <w:t>č</w:t>
      </w:r>
      <w:r>
        <w:rPr>
          <w:rFonts w:ascii="Verdana" w:hAnsi="Verdana"/>
          <w:color w:val="0070C0"/>
          <w:sz w:val="20"/>
          <w:szCs w:val="20"/>
          <w:u w:color="0070C0"/>
        </w:rPr>
        <w:t>ilnice na voljo razli</w:t>
      </w:r>
      <w:r>
        <w:rPr>
          <w:rFonts w:ascii="Verdana" w:hAnsi="Verdana"/>
          <w:color w:val="0070C0"/>
          <w:sz w:val="20"/>
          <w:szCs w:val="20"/>
          <w:u w:color="0070C0"/>
        </w:rPr>
        <w:t>č</w:t>
      </w:r>
      <w:r>
        <w:rPr>
          <w:rFonts w:ascii="Verdana" w:hAnsi="Verdana"/>
          <w:color w:val="0070C0"/>
          <w:sz w:val="20"/>
          <w:szCs w:val="20"/>
          <w:u w:color="0070C0"/>
        </w:rPr>
        <w:t>na elektronska gradiva, avdio in video p</w:t>
      </w:r>
      <w:r>
        <w:rPr>
          <w:rFonts w:ascii="Verdana" w:hAnsi="Verdana"/>
          <w:color w:val="0070C0"/>
          <w:sz w:val="20"/>
          <w:szCs w:val="20"/>
          <w:u w:color="0070C0"/>
        </w:rPr>
        <w:t>osnetki predavanj in razli</w:t>
      </w:r>
      <w:r>
        <w:rPr>
          <w:rFonts w:ascii="Verdana" w:hAnsi="Verdana"/>
          <w:color w:val="0070C0"/>
          <w:sz w:val="20"/>
          <w:szCs w:val="20"/>
          <w:u w:color="0070C0"/>
        </w:rPr>
        <w:t>č</w:t>
      </w:r>
      <w:r>
        <w:rPr>
          <w:rFonts w:ascii="Verdana" w:hAnsi="Verdana"/>
          <w:color w:val="0070C0"/>
          <w:sz w:val="20"/>
          <w:szCs w:val="20"/>
          <w:u w:color="0070C0"/>
        </w:rPr>
        <w:t>ne naloge/vaje. E-u</w:t>
      </w:r>
      <w:r>
        <w:rPr>
          <w:rFonts w:ascii="Verdana" w:hAnsi="Verdana"/>
          <w:color w:val="0070C0"/>
          <w:sz w:val="20"/>
          <w:szCs w:val="20"/>
          <w:u w:color="0070C0"/>
        </w:rPr>
        <w:t>č</w:t>
      </w:r>
      <w:r>
        <w:rPr>
          <w:rFonts w:ascii="Verdana" w:hAnsi="Verdana"/>
          <w:color w:val="0070C0"/>
          <w:sz w:val="20"/>
          <w:szCs w:val="20"/>
          <w:u w:color="0070C0"/>
        </w:rPr>
        <w:t>ilnica omogo</w:t>
      </w:r>
      <w:r>
        <w:rPr>
          <w:rFonts w:ascii="Verdana" w:hAnsi="Verdana"/>
          <w:color w:val="0070C0"/>
          <w:sz w:val="20"/>
          <w:szCs w:val="20"/>
          <w:u w:color="0070C0"/>
        </w:rPr>
        <w:t>č</w:t>
      </w:r>
      <w:r>
        <w:rPr>
          <w:rFonts w:ascii="Verdana" w:hAnsi="Verdana"/>
          <w:color w:val="0070C0"/>
          <w:sz w:val="20"/>
          <w:szCs w:val="20"/>
          <w:u w:color="0070C0"/>
        </w:rPr>
        <w:t>a izvedbo e-u</w:t>
      </w:r>
      <w:r>
        <w:rPr>
          <w:rFonts w:ascii="Verdana" w:hAnsi="Verdana"/>
          <w:color w:val="0070C0"/>
          <w:sz w:val="20"/>
          <w:szCs w:val="20"/>
          <w:u w:color="0070C0"/>
        </w:rPr>
        <w:t>č</w:t>
      </w:r>
      <w:r>
        <w:rPr>
          <w:rFonts w:ascii="Verdana" w:hAnsi="Verdana"/>
          <w:color w:val="0070C0"/>
          <w:sz w:val="20"/>
          <w:szCs w:val="20"/>
          <w:u w:color="0070C0"/>
        </w:rPr>
        <w:t>enja, ki ga je zavod ustrezno akreditiral pri NAKVIS.</w:t>
      </w:r>
    </w:p>
    <w:p w:rsidR="004547F6" w:rsidRDefault="004547F6">
      <w:pPr>
        <w:pStyle w:val="BalloonText"/>
        <w:shd w:val="clear" w:color="auto" w:fill="FFFFFF"/>
        <w:rPr>
          <w:rFonts w:ascii="Verdana" w:eastAsia="Verdana" w:hAnsi="Verdana" w:cs="Verdana"/>
          <w:color w:val="0070C0"/>
          <w:sz w:val="20"/>
          <w:szCs w:val="20"/>
          <w:u w:color="0070C0"/>
        </w:rPr>
      </w:pPr>
    </w:p>
    <w:p w:rsidR="004547F6" w:rsidRDefault="005244D5">
      <w:pPr>
        <w:pStyle w:val="BalloonText"/>
        <w:shd w:val="clear" w:color="auto" w:fill="FFFFFF"/>
        <w:rPr>
          <w:rFonts w:ascii="Verdana" w:eastAsia="Verdana" w:hAnsi="Verdana" w:cs="Verdana"/>
          <w:color w:val="0070C0"/>
          <w:sz w:val="20"/>
          <w:szCs w:val="20"/>
          <w:u w:color="0070C0"/>
        </w:rPr>
      </w:pPr>
      <w:r>
        <w:rPr>
          <w:rFonts w:ascii="Verdana" w:hAnsi="Verdana"/>
          <w:color w:val="0070C0"/>
          <w:sz w:val="20"/>
          <w:szCs w:val="20"/>
          <w:u w:color="0070C0"/>
        </w:rPr>
        <w:t>Edina pripomba skupine strokovnjakov je dostopnost prostorov, predvsem manj</w:t>
      </w:r>
      <w:r>
        <w:rPr>
          <w:rFonts w:ascii="Verdana" w:hAnsi="Verdana"/>
          <w:color w:val="0070C0"/>
          <w:sz w:val="20"/>
          <w:szCs w:val="20"/>
          <w:u w:color="0070C0"/>
        </w:rPr>
        <w:t>š</w:t>
      </w:r>
      <w:r w:rsidRPr="005A511D">
        <w:rPr>
          <w:rFonts w:ascii="Verdana" w:hAnsi="Verdana"/>
          <w:color w:val="0070C0"/>
          <w:sz w:val="20"/>
          <w:szCs w:val="20"/>
          <w:u w:color="0070C0"/>
        </w:rPr>
        <w:t>ih, za delo in dru</w:t>
      </w:r>
      <w:r>
        <w:rPr>
          <w:rFonts w:ascii="Verdana" w:hAnsi="Verdana"/>
          <w:color w:val="0070C0"/>
          <w:sz w:val="20"/>
          <w:szCs w:val="20"/>
          <w:u w:color="0070C0"/>
        </w:rPr>
        <w:t>ž</w:t>
      </w:r>
      <w:r>
        <w:rPr>
          <w:rFonts w:ascii="Verdana" w:hAnsi="Verdana"/>
          <w:color w:val="0070C0"/>
          <w:sz w:val="20"/>
          <w:szCs w:val="20"/>
          <w:u w:color="0070C0"/>
        </w:rPr>
        <w:t xml:space="preserve">enje </w:t>
      </w:r>
      <w:r>
        <w:rPr>
          <w:rFonts w:ascii="Verdana" w:hAnsi="Verdana"/>
          <w:color w:val="0070C0"/>
          <w:sz w:val="20"/>
          <w:szCs w:val="20"/>
          <w:u w:color="0070C0"/>
        </w:rPr>
        <w:t>š</w:t>
      </w:r>
      <w:r>
        <w:rPr>
          <w:rFonts w:ascii="Verdana" w:hAnsi="Verdana"/>
          <w:color w:val="0070C0"/>
          <w:sz w:val="20"/>
          <w:szCs w:val="20"/>
          <w:u w:color="0070C0"/>
        </w:rPr>
        <w:t xml:space="preserve">tudentov v dnevih, ko v dislocirani enoti ne bo pouka. Mnenje skupine strokovnjakov je, da bi </w:t>
      </w:r>
      <w:r>
        <w:rPr>
          <w:rFonts w:ascii="Verdana" w:hAnsi="Verdana"/>
          <w:color w:val="0070C0"/>
          <w:sz w:val="20"/>
          <w:szCs w:val="20"/>
          <w:u w:color="0070C0"/>
        </w:rPr>
        <w:t>š</w:t>
      </w:r>
      <w:r>
        <w:rPr>
          <w:rFonts w:ascii="Verdana" w:hAnsi="Verdana"/>
          <w:color w:val="0070C0"/>
          <w:sz w:val="20"/>
          <w:szCs w:val="20"/>
          <w:u w:color="0070C0"/>
        </w:rPr>
        <w:t>tudenti morali imeti mo</w:t>
      </w:r>
      <w:r>
        <w:rPr>
          <w:rFonts w:ascii="Verdana" w:hAnsi="Verdana"/>
          <w:color w:val="0070C0"/>
          <w:sz w:val="20"/>
          <w:szCs w:val="20"/>
          <w:u w:color="0070C0"/>
        </w:rPr>
        <w:t>ž</w:t>
      </w:r>
      <w:r>
        <w:rPr>
          <w:rFonts w:ascii="Verdana" w:hAnsi="Verdana"/>
          <w:color w:val="0070C0"/>
          <w:sz w:val="20"/>
          <w:szCs w:val="20"/>
          <w:u w:color="0070C0"/>
        </w:rPr>
        <w:t>nost skupnega dela in sodelovanja na fakulteti vsak delovni dan med semestrom. Menimo, da je v dogovoru s CPU to lahko dosegljivo.</w:t>
      </w:r>
    </w:p>
    <w:p w:rsidR="004547F6" w:rsidRDefault="004547F6">
      <w:pPr>
        <w:pStyle w:val="BalloonText"/>
        <w:shd w:val="clear" w:color="auto" w:fill="FFFFFF"/>
        <w:rPr>
          <w:rFonts w:ascii="Verdana" w:eastAsia="Verdana" w:hAnsi="Verdana" w:cs="Verdana"/>
          <w:sz w:val="20"/>
          <w:szCs w:val="20"/>
        </w:rPr>
      </w:pPr>
    </w:p>
    <w:p w:rsidR="004547F6" w:rsidRDefault="005244D5">
      <w:pPr>
        <w:pStyle w:val="Body"/>
        <w:rPr>
          <w:b/>
          <w:bCs/>
        </w:rPr>
      </w:pPr>
      <w:r>
        <w:rPr>
          <w:b/>
          <w:bCs/>
        </w:rPr>
        <w:t>Predn</w:t>
      </w:r>
      <w:r>
        <w:rPr>
          <w:b/>
          <w:bCs/>
        </w:rPr>
        <w:t>osti:</w:t>
      </w:r>
    </w:p>
    <w:p w:rsidR="004547F6" w:rsidRDefault="005244D5">
      <w:pPr>
        <w:pStyle w:val="ListParagraph"/>
        <w:numPr>
          <w:ilvl w:val="0"/>
          <w:numId w:val="2"/>
        </w:numPr>
        <w:rPr>
          <w:color w:val="0070C0"/>
        </w:rPr>
      </w:pPr>
      <w:r>
        <w:rPr>
          <w:color w:val="0070C0"/>
          <w:u w:color="0070C0"/>
        </w:rPr>
        <w:t>Prostori, knjižnica in druga oprema so primerni za izvajanje pouka na visokošolski ravni.</w:t>
      </w:r>
    </w:p>
    <w:p w:rsidR="004547F6" w:rsidRDefault="005244D5">
      <w:pPr>
        <w:pStyle w:val="ListParagraph"/>
        <w:numPr>
          <w:ilvl w:val="0"/>
          <w:numId w:val="2"/>
        </w:numPr>
        <w:rPr>
          <w:color w:val="0070C0"/>
        </w:rPr>
      </w:pPr>
      <w:r>
        <w:rPr>
          <w:color w:val="0070C0"/>
          <w:u w:color="0070C0"/>
        </w:rPr>
        <w:t>Možnost oddaljenega dostopa do računalniške opreme, ki se nahaja na matični enoti.</w:t>
      </w:r>
    </w:p>
    <w:p w:rsidR="004547F6" w:rsidRDefault="005244D5">
      <w:pPr>
        <w:pStyle w:val="ListParagraph"/>
        <w:numPr>
          <w:ilvl w:val="0"/>
          <w:numId w:val="2"/>
        </w:numPr>
        <w:rPr>
          <w:color w:val="0070C0"/>
        </w:rPr>
      </w:pPr>
      <w:r>
        <w:rPr>
          <w:color w:val="0070C0"/>
          <w:u w:color="0070C0"/>
        </w:rPr>
        <w:t>Dobro razvita e-učilnica.</w:t>
      </w:r>
    </w:p>
    <w:p w:rsidR="004547F6" w:rsidRDefault="004547F6">
      <w:pPr>
        <w:pStyle w:val="Body"/>
      </w:pPr>
    </w:p>
    <w:p w:rsidR="004547F6" w:rsidRDefault="005244D5">
      <w:pPr>
        <w:pStyle w:val="Body"/>
        <w:rPr>
          <w:b/>
          <w:bCs/>
        </w:rPr>
      </w:pPr>
      <w:r>
        <w:rPr>
          <w:b/>
          <w:bCs/>
        </w:rPr>
        <w:t>Priložnosti za izboljšanje:</w:t>
      </w:r>
    </w:p>
    <w:p w:rsidR="004547F6" w:rsidRDefault="005244D5">
      <w:pPr>
        <w:pStyle w:val="ListParagraph"/>
        <w:numPr>
          <w:ilvl w:val="0"/>
          <w:numId w:val="4"/>
        </w:numPr>
        <w:rPr>
          <w:b/>
          <w:bCs/>
        </w:rPr>
      </w:pPr>
      <w:r>
        <w:rPr>
          <w:color w:val="0070C0"/>
          <w:u w:color="0070C0"/>
        </w:rPr>
        <w:t>Vsaj en manjši prostor</w:t>
      </w:r>
      <w:r>
        <w:rPr>
          <w:color w:val="0070C0"/>
          <w:u w:color="0070C0"/>
        </w:rPr>
        <w:t xml:space="preserve"> za pripravo skupnih seminarskih nalog in interakcijo med študenti bi moral biti na voljo ves čas med semestrom.</w:t>
      </w:r>
    </w:p>
    <w:p w:rsidR="004547F6" w:rsidRDefault="004547F6">
      <w:pPr>
        <w:pStyle w:val="Body"/>
      </w:pPr>
    </w:p>
    <w:p w:rsidR="004547F6" w:rsidRDefault="005244D5">
      <w:pPr>
        <w:pStyle w:val="Body"/>
        <w:rPr>
          <w:color w:val="0070C0"/>
          <w:u w:color="0070C0"/>
        </w:rPr>
      </w:pPr>
      <w:r>
        <w:rPr>
          <w:b/>
          <w:bCs/>
        </w:rPr>
        <w:t>Večje pomanjkljivosti oziroma neskladnosti</w:t>
      </w:r>
      <w:r>
        <w:t xml:space="preserve">: </w:t>
      </w:r>
      <w:r>
        <w:rPr>
          <w:color w:val="0070C0"/>
          <w:u w:color="0070C0"/>
        </w:rPr>
        <w:t>Večjih pomanjkljivosti in neskladnosti ni.</w:t>
      </w:r>
    </w:p>
    <w:p w:rsidR="004547F6" w:rsidRDefault="005244D5">
      <w:pPr>
        <w:pStyle w:val="Body"/>
      </w:pPr>
      <w:r>
        <w:t xml:space="preserve"> </w:t>
      </w:r>
    </w:p>
    <w:p w:rsidR="004547F6" w:rsidRDefault="004547F6">
      <w:pPr>
        <w:pStyle w:val="Body"/>
        <w:rPr>
          <w:b/>
          <w:bCs/>
        </w:rPr>
      </w:pPr>
    </w:p>
    <w:tbl>
      <w:tblPr>
        <w:tblW w:w="90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062"/>
      </w:tblGrid>
      <w:tr w:rsidR="004547F6" w:rsidRPr="005A511D">
        <w:trPr>
          <w:trHeight w:val="730"/>
        </w:trPr>
        <w:tc>
          <w:tcPr>
            <w:tcW w:w="90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547F6" w:rsidRDefault="005244D5">
            <w:pPr>
              <w:pStyle w:val="Body"/>
            </w:pPr>
            <w:r>
              <w:rPr>
                <w:b/>
                <w:bCs/>
              </w:rPr>
              <w:t xml:space="preserve">2. Prilagoditev prostorov in opreme študentom z </w:t>
            </w:r>
            <w:r>
              <w:rPr>
                <w:b/>
                <w:bCs/>
              </w:rPr>
              <w:t>različnimi oblikami invalidnosti</w:t>
            </w:r>
          </w:p>
        </w:tc>
      </w:tr>
    </w:tbl>
    <w:p w:rsidR="004547F6" w:rsidRDefault="004547F6">
      <w:pPr>
        <w:pStyle w:val="Body"/>
        <w:widowControl w:val="0"/>
        <w:rPr>
          <w:b/>
          <w:bCs/>
        </w:rPr>
      </w:pPr>
    </w:p>
    <w:p w:rsidR="004547F6" w:rsidRDefault="004547F6">
      <w:pPr>
        <w:pStyle w:val="Body"/>
      </w:pPr>
    </w:p>
    <w:p w:rsidR="004547F6" w:rsidRDefault="005244D5">
      <w:pPr>
        <w:pStyle w:val="Body"/>
        <w:rPr>
          <w:color w:val="0070C0"/>
          <w:u w:color="0070C0"/>
        </w:rPr>
      </w:pPr>
      <w:r>
        <w:rPr>
          <w:color w:val="0070C0"/>
          <w:u w:color="0070C0"/>
        </w:rPr>
        <w:t>Poslopje CPU je primerno za uporabo gibalno oviranih oseb. Organizaciji pouka za študente z drugimi oblikami invalidnosti se bo fakulteta posvetila takrat, ko bo do tega prišlo. Do sedaj so imeli izkušnjo z nagluš</w:t>
      </w:r>
      <w:r w:rsidRPr="005A511D">
        <w:rPr>
          <w:color w:val="0070C0"/>
          <w:u w:color="0070C0"/>
        </w:rPr>
        <w:t xml:space="preserve">no </w:t>
      </w:r>
      <w:r>
        <w:rPr>
          <w:color w:val="0070C0"/>
          <w:u w:color="0070C0"/>
        </w:rPr>
        <w:t>š</w:t>
      </w:r>
      <w:r>
        <w:rPr>
          <w:color w:val="0070C0"/>
          <w:u w:color="0070C0"/>
        </w:rPr>
        <w:t>tudentko, ki so jo uspeš</w:t>
      </w:r>
      <w:r w:rsidRPr="005A511D">
        <w:rPr>
          <w:color w:val="0070C0"/>
          <w:u w:color="0070C0"/>
        </w:rPr>
        <w:t>no re</w:t>
      </w:r>
      <w:r>
        <w:rPr>
          <w:color w:val="0070C0"/>
          <w:u w:color="0070C0"/>
        </w:rPr>
        <w:t>šili z uporabo ustrezne tehnologije.</w:t>
      </w:r>
    </w:p>
    <w:p w:rsidR="004547F6" w:rsidRDefault="004547F6">
      <w:pPr>
        <w:pStyle w:val="Body"/>
      </w:pPr>
    </w:p>
    <w:p w:rsidR="004547F6" w:rsidRDefault="005244D5">
      <w:pPr>
        <w:pStyle w:val="Body"/>
        <w:rPr>
          <w:color w:val="0070C0"/>
          <w:u w:color="0070C0"/>
        </w:rPr>
      </w:pPr>
      <w:r>
        <w:rPr>
          <w:b/>
          <w:bCs/>
        </w:rPr>
        <w:t xml:space="preserve">Prednosti: </w:t>
      </w:r>
      <w:r>
        <w:rPr>
          <w:color w:val="0070C0"/>
          <w:u w:color="0070C0"/>
        </w:rPr>
        <w:t>Prostori so prilagojeni za uporabo gibalno oviranih študentov.</w:t>
      </w:r>
    </w:p>
    <w:p w:rsidR="004547F6" w:rsidRDefault="004547F6">
      <w:pPr>
        <w:pStyle w:val="Body"/>
      </w:pPr>
    </w:p>
    <w:p w:rsidR="004547F6" w:rsidRDefault="005244D5">
      <w:pPr>
        <w:pStyle w:val="Body"/>
        <w:rPr>
          <w:b/>
          <w:bCs/>
        </w:rPr>
      </w:pPr>
      <w:r>
        <w:rPr>
          <w:b/>
          <w:bCs/>
        </w:rPr>
        <w:t xml:space="preserve">Priložnosti za izboljšanje: </w:t>
      </w:r>
      <w:r>
        <w:rPr>
          <w:color w:val="0070C0"/>
          <w:u w:color="0070C0"/>
        </w:rPr>
        <w:t>Nismo zaznali.</w:t>
      </w:r>
    </w:p>
    <w:p w:rsidR="004547F6" w:rsidRDefault="004547F6">
      <w:pPr>
        <w:pStyle w:val="Body"/>
      </w:pPr>
    </w:p>
    <w:p w:rsidR="004547F6" w:rsidRDefault="005244D5">
      <w:pPr>
        <w:pStyle w:val="Body"/>
        <w:rPr>
          <w:color w:val="0070C0"/>
          <w:u w:color="0070C0"/>
        </w:rPr>
      </w:pPr>
      <w:r>
        <w:rPr>
          <w:b/>
          <w:bCs/>
        </w:rPr>
        <w:t>Večje pomanjkljivosti oziroma neskladnosti</w:t>
      </w:r>
      <w:r>
        <w:t xml:space="preserve">: </w:t>
      </w:r>
      <w:r>
        <w:rPr>
          <w:color w:val="0070C0"/>
          <w:u w:color="0070C0"/>
        </w:rPr>
        <w:t xml:space="preserve">Večjih pomanjkljivosti in </w:t>
      </w:r>
      <w:r>
        <w:rPr>
          <w:color w:val="0070C0"/>
          <w:u w:color="0070C0"/>
        </w:rPr>
        <w:t>neskladnosti ni.</w:t>
      </w:r>
    </w:p>
    <w:p w:rsidR="004547F6" w:rsidRDefault="004547F6">
      <w:pPr>
        <w:pStyle w:val="Body"/>
      </w:pPr>
    </w:p>
    <w:p w:rsidR="004547F6" w:rsidRDefault="004547F6">
      <w:pPr>
        <w:pStyle w:val="Body"/>
      </w:pPr>
    </w:p>
    <w:tbl>
      <w:tblPr>
        <w:tblW w:w="90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062"/>
      </w:tblGrid>
      <w:tr w:rsidR="004547F6" w:rsidRPr="005A511D">
        <w:trPr>
          <w:trHeight w:val="970"/>
        </w:trPr>
        <w:tc>
          <w:tcPr>
            <w:tcW w:w="90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547F6" w:rsidRDefault="005244D5">
            <w:pPr>
              <w:pStyle w:val="Body"/>
            </w:pPr>
            <w:r>
              <w:rPr>
                <w:b/>
                <w:bCs/>
              </w:rPr>
              <w:t>3 Zagotavljanje kadrov, ki po številu in kakovosti ustrezajo pedagoškemu, znanstvenemu, strokovnemu, raziskovalnemu oziroma umetniškemu delu, povezanemu s študijskimi področ</w:t>
            </w:r>
            <w:r w:rsidRPr="005A511D">
              <w:rPr>
                <w:b/>
                <w:bCs/>
              </w:rPr>
              <w:t xml:space="preserve">ji in disciplinami oziroma </w:t>
            </w:r>
            <w:r>
              <w:rPr>
                <w:b/>
                <w:bCs/>
              </w:rPr>
              <w:t>študijskimi programi, ki jih visokošo</w:t>
            </w:r>
            <w:r>
              <w:rPr>
                <w:b/>
                <w:bCs/>
              </w:rPr>
              <w:t>lski zavod načrtuje izvajati na dislocirani enoti;</w:t>
            </w:r>
          </w:p>
        </w:tc>
      </w:tr>
    </w:tbl>
    <w:p w:rsidR="004547F6" w:rsidRDefault="004547F6">
      <w:pPr>
        <w:pStyle w:val="Body"/>
        <w:widowControl w:val="0"/>
      </w:pPr>
    </w:p>
    <w:p w:rsidR="004547F6" w:rsidRDefault="004547F6">
      <w:pPr>
        <w:pStyle w:val="Body"/>
        <w:rPr>
          <w:rFonts w:ascii="Calibri" w:eastAsia="Calibri" w:hAnsi="Calibri" w:cs="Calibri"/>
          <w:b/>
          <w:bCs/>
          <w:i/>
          <w:iCs/>
          <w:color w:val="808080"/>
          <w:u w:color="808080"/>
        </w:rPr>
      </w:pPr>
    </w:p>
    <w:p w:rsidR="004547F6" w:rsidRDefault="005244D5">
      <w:pPr>
        <w:pStyle w:val="Body"/>
        <w:rPr>
          <w:color w:val="0070C0"/>
          <w:u w:color="0070C0"/>
        </w:rPr>
      </w:pPr>
      <w:r>
        <w:rPr>
          <w:color w:val="0070C0"/>
          <w:u w:color="0070C0"/>
        </w:rPr>
        <w:t xml:space="preserve">Pregled seznama visokošolskih učiteljev in sodelavcev je pokazal, da je ustrezno izpolnjevanje pedagoškega in znanstveno-raziskovalnega dela zagotovljeno. Vsi učitelji imajo ustrezen naziv in tudi s </w:t>
      </w:r>
      <w:r>
        <w:rPr>
          <w:color w:val="0070C0"/>
          <w:u w:color="0070C0"/>
        </w:rPr>
        <w:t>svojo bibliografijo kažejo na ustrezno aktivnost. Aktivni so tudi v strokovnem delu in vključeni v različ</w:t>
      </w:r>
      <w:r w:rsidRPr="005A511D">
        <w:rPr>
          <w:color w:val="0070C0"/>
          <w:u w:color="0070C0"/>
          <w:lang w:val="it-IT"/>
        </w:rPr>
        <w:t>ne forume.</w:t>
      </w:r>
    </w:p>
    <w:p w:rsidR="004547F6" w:rsidRDefault="004547F6">
      <w:pPr>
        <w:pStyle w:val="Body"/>
        <w:rPr>
          <w:color w:val="0070C0"/>
          <w:u w:color="0070C0"/>
        </w:rPr>
      </w:pPr>
    </w:p>
    <w:p w:rsidR="004547F6" w:rsidRDefault="005244D5">
      <w:pPr>
        <w:pStyle w:val="Body"/>
        <w:rPr>
          <w:color w:val="0070C0"/>
          <w:u w:color="0070C0"/>
        </w:rPr>
      </w:pPr>
      <w:r>
        <w:rPr>
          <w:color w:val="0070C0"/>
          <w:u w:color="0070C0"/>
        </w:rPr>
        <w:t>Fakulteta podpira stike v mednarodnem prostoru, izmenjave učiteljev in študentov. To se odraža tudi v relativno visokem številu študentov n</w:t>
      </w:r>
      <w:r>
        <w:rPr>
          <w:color w:val="0070C0"/>
          <w:u w:color="0070C0"/>
        </w:rPr>
        <w:t>a izmenjavi (v študijskem letu 2018/2019 približ</w:t>
      </w:r>
      <w:r w:rsidRPr="005A511D">
        <w:rPr>
          <w:color w:val="0070C0"/>
          <w:u w:color="0070C0"/>
        </w:rPr>
        <w:t xml:space="preserve">no 25 </w:t>
      </w:r>
      <w:r>
        <w:rPr>
          <w:color w:val="0070C0"/>
          <w:u w:color="0070C0"/>
        </w:rPr>
        <w:t>študentov) in visok delež tujih rednih študentov (med drugim 8 doktorskih študentov).</w:t>
      </w:r>
    </w:p>
    <w:p w:rsidR="004547F6" w:rsidRDefault="004547F6">
      <w:pPr>
        <w:pStyle w:val="Body"/>
        <w:rPr>
          <w:color w:val="0070C0"/>
          <w:u w:color="0070C0"/>
        </w:rPr>
      </w:pPr>
    </w:p>
    <w:p w:rsidR="004547F6" w:rsidRDefault="005244D5">
      <w:pPr>
        <w:pStyle w:val="Body"/>
        <w:rPr>
          <w:color w:val="0070C0"/>
          <w:u w:color="0070C0"/>
        </w:rPr>
      </w:pPr>
      <w:r>
        <w:rPr>
          <w:color w:val="0070C0"/>
          <w:u w:color="0070C0"/>
        </w:rPr>
        <w:t xml:space="preserve">Težava, ki bi lahko nastala z vpeljavo dislocirane enote, je preobremenjenost. Glede tega je skupina strokovnjakov </w:t>
      </w:r>
      <w:r>
        <w:rPr>
          <w:color w:val="0070C0"/>
          <w:u w:color="0070C0"/>
        </w:rPr>
        <w:t>opazila, da način izvedbe izrednega študija, ki je seveda rezultat racionalizacije dela, lahko vodi do manj kakovostnega pedagoš</w:t>
      </w:r>
      <w:r w:rsidRPr="005A511D">
        <w:rPr>
          <w:color w:val="0070C0"/>
          <w:u w:color="0070C0"/>
        </w:rPr>
        <w:t>kega dela. Predlagani so namre</w:t>
      </w:r>
      <w:r>
        <w:rPr>
          <w:color w:val="0070C0"/>
          <w:u w:color="0070C0"/>
        </w:rPr>
        <w:t>č 3-tedenski sklopi po posameznih predmetih, ki več</w:t>
      </w:r>
      <w:r>
        <w:rPr>
          <w:color w:val="0070C0"/>
          <w:u w:color="0070C0"/>
          <w:lang w:val="es-ES_tradnl"/>
        </w:rPr>
        <w:t xml:space="preserve">inoma obsegajo 6-7 KT (po ECTS). V </w:t>
      </w:r>
      <w:r>
        <w:rPr>
          <w:color w:val="0070C0"/>
          <w:u w:color="0070C0"/>
        </w:rPr>
        <w:t>času teh tre</w:t>
      </w:r>
      <w:r>
        <w:rPr>
          <w:color w:val="0070C0"/>
          <w:u w:color="0070C0"/>
        </w:rPr>
        <w:t>h tednov je predvidena izvedba dveh ali treh 4-urnih predavanj, ki naj bi potekala vsak petek popoldan. Med tednom so predvidene sprotne zadolžitve, ki naj bi jih študenti dnevno opravljali preko e-učilnice. Ob zaključku vsakega 3-tedenskega sklopa je pred</w:t>
      </w:r>
      <w:r>
        <w:rPr>
          <w:color w:val="0070C0"/>
          <w:u w:color="0070C0"/>
        </w:rPr>
        <w:t>videno tudi opravljanje izpita (po zadnjem predavanju oziroma po dogovoru s študenti). Glede na velikost predmetov torej pričakujemo, da bodo študenti v povprečju posvetili 150 do 210 ur za vsak predmet. Na fakulteti so nam sicer zagotovili, da si študenti</w:t>
      </w:r>
      <w:r>
        <w:rPr>
          <w:color w:val="0070C0"/>
          <w:u w:color="0070C0"/>
        </w:rPr>
        <w:t xml:space="preserve"> lahko vzamejo več časa za opravljanje izpita, a bodo zaradi takojšnjega nadaljevanja z naslednjim predmetom to morali odložiti do izpitnega obdobja, ki bo nekaj mesecev pozneje, ali pa ne opravljati obveznosti pri naslednjem predmetu. Za nekatere, predvse</w:t>
      </w:r>
      <w:r>
        <w:rPr>
          <w:color w:val="0070C0"/>
          <w:u w:color="0070C0"/>
        </w:rPr>
        <w:t>m teoretične, predmete se pojavlja tudi vprašanje, ali je izvedba v bloku primerna, saj za določena znanja potrebujemo več časa oziroma je p</w:t>
      </w:r>
      <w:r w:rsidR="005A511D">
        <w:rPr>
          <w:color w:val="0070C0"/>
          <w:u w:color="0070C0"/>
        </w:rPr>
        <w:t>otrebno</w:t>
      </w:r>
      <w:r>
        <w:rPr>
          <w:color w:val="0070C0"/>
          <w:u w:color="0070C0"/>
        </w:rPr>
        <w:t xml:space="preserve"> počasnejše sprejemanje za dolgoročno razumevanje snovi. S tem načinom daje fakulteta študentu, ki je sicer u</w:t>
      </w:r>
      <w:r>
        <w:rPr>
          <w:color w:val="0070C0"/>
          <w:u w:color="0070C0"/>
        </w:rPr>
        <w:t>spešen na izpitih, lažen občutek pridobljenega znanja, ki hitro izgine iz kratkotrajnega spomina. Predlagamo, da fakulteta razmisli o možni drugačni izvedbi pouka: (1) pri nekaterih predmetih uporablja daljše bloke ali celoten semester, (2) med bloki preki</w:t>
      </w:r>
      <w:r>
        <w:rPr>
          <w:color w:val="0070C0"/>
          <w:u w:color="0070C0"/>
        </w:rPr>
        <w:t>ne z izvajanjem pouka za teden ali dva, da študentom omogoči pripravo na izpit in opravljanje le-tega (to sicer pomeni, da bo študijski proces trajal dlje kot 30 tednov, a pri izrednem študiju to ne sme biti sporno).</w:t>
      </w:r>
    </w:p>
    <w:p w:rsidR="004547F6" w:rsidRDefault="004547F6">
      <w:pPr>
        <w:pStyle w:val="Body"/>
      </w:pPr>
    </w:p>
    <w:p w:rsidR="004547F6" w:rsidRDefault="005244D5">
      <w:pPr>
        <w:pStyle w:val="Body"/>
        <w:rPr>
          <w:color w:val="0070C0"/>
          <w:u w:color="0070C0"/>
        </w:rPr>
      </w:pPr>
      <w:r>
        <w:rPr>
          <w:b/>
          <w:bCs/>
        </w:rPr>
        <w:t xml:space="preserve">Prednosti: </w:t>
      </w:r>
      <w:r>
        <w:rPr>
          <w:color w:val="0070C0"/>
          <w:u w:color="0070C0"/>
        </w:rPr>
        <w:t>Skupina pedagogov in razisk</w:t>
      </w:r>
      <w:r>
        <w:rPr>
          <w:color w:val="0070C0"/>
          <w:u w:color="0070C0"/>
        </w:rPr>
        <w:t>ovalcev je zelo primerna za izvedbo predlaganega programa.</w:t>
      </w:r>
    </w:p>
    <w:p w:rsidR="004547F6" w:rsidRDefault="004547F6">
      <w:pPr>
        <w:pStyle w:val="Body"/>
      </w:pPr>
    </w:p>
    <w:p w:rsidR="004547F6" w:rsidRDefault="005244D5">
      <w:pPr>
        <w:pStyle w:val="Body"/>
        <w:rPr>
          <w:b/>
          <w:bCs/>
        </w:rPr>
      </w:pPr>
      <w:r>
        <w:rPr>
          <w:b/>
          <w:bCs/>
        </w:rPr>
        <w:t xml:space="preserve">Priložnosti za izboljšanje: </w:t>
      </w:r>
      <w:r>
        <w:rPr>
          <w:color w:val="0070C0"/>
          <w:u w:color="0070C0"/>
        </w:rPr>
        <w:t>Izvedbo izrednega študija bi lahko spremenili tako, da bi zagotavljala bolj kakovostno izvedbo pouka in posledično boljše znanje in kompetence diplomantov.</w:t>
      </w:r>
    </w:p>
    <w:p w:rsidR="004547F6" w:rsidRDefault="004547F6">
      <w:pPr>
        <w:pStyle w:val="Body"/>
      </w:pPr>
    </w:p>
    <w:p w:rsidR="004547F6" w:rsidRDefault="005244D5">
      <w:pPr>
        <w:pStyle w:val="Body"/>
        <w:rPr>
          <w:color w:val="0070C0"/>
          <w:u w:color="0070C0"/>
        </w:rPr>
      </w:pPr>
      <w:r>
        <w:rPr>
          <w:b/>
          <w:bCs/>
        </w:rPr>
        <w:t>Večje poman</w:t>
      </w:r>
      <w:r>
        <w:rPr>
          <w:b/>
          <w:bCs/>
        </w:rPr>
        <w:t>jkljivosti oziroma neskladnosti</w:t>
      </w:r>
      <w:r>
        <w:t xml:space="preserve">: </w:t>
      </w:r>
      <w:r>
        <w:rPr>
          <w:color w:val="0070C0"/>
          <w:u w:color="0070C0"/>
        </w:rPr>
        <w:t>Večjih pomanjkljivosti in neskladnosti ni.</w:t>
      </w:r>
    </w:p>
    <w:p w:rsidR="004547F6" w:rsidRDefault="004547F6">
      <w:pPr>
        <w:pStyle w:val="Body"/>
      </w:pPr>
    </w:p>
    <w:p w:rsidR="004547F6" w:rsidRDefault="004547F6">
      <w:pPr>
        <w:pStyle w:val="Body"/>
      </w:pPr>
    </w:p>
    <w:tbl>
      <w:tblPr>
        <w:tblW w:w="90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062"/>
      </w:tblGrid>
      <w:tr w:rsidR="004547F6" w:rsidRPr="005A511D">
        <w:trPr>
          <w:trHeight w:val="730"/>
        </w:trPr>
        <w:tc>
          <w:tcPr>
            <w:tcW w:w="90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547F6" w:rsidRDefault="005244D5">
            <w:pPr>
              <w:pStyle w:val="Body"/>
              <w:tabs>
                <w:tab w:val="left" w:pos="3968"/>
              </w:tabs>
            </w:pPr>
            <w:r>
              <w:rPr>
                <w:b/>
                <w:bCs/>
              </w:rPr>
              <w:t>4. Zagotavljanje svetovalnih storitev in nepedagoških delavcev na dislocirani enoti</w:t>
            </w:r>
          </w:p>
        </w:tc>
      </w:tr>
    </w:tbl>
    <w:p w:rsidR="004547F6" w:rsidRDefault="004547F6">
      <w:pPr>
        <w:pStyle w:val="Body"/>
        <w:widowControl w:val="0"/>
      </w:pPr>
    </w:p>
    <w:p w:rsidR="004547F6" w:rsidRDefault="004547F6">
      <w:pPr>
        <w:pStyle w:val="Body"/>
        <w:tabs>
          <w:tab w:val="left" w:pos="3968"/>
        </w:tabs>
        <w:rPr>
          <w:b/>
          <w:bCs/>
        </w:rPr>
      </w:pPr>
    </w:p>
    <w:p w:rsidR="004547F6" w:rsidRDefault="005244D5">
      <w:pPr>
        <w:pStyle w:val="Body"/>
        <w:rPr>
          <w:color w:val="0070C0"/>
          <w:u w:color="0070C0"/>
        </w:rPr>
      </w:pPr>
      <w:r>
        <w:rPr>
          <w:color w:val="0070C0"/>
          <w:u w:color="0070C0"/>
        </w:rPr>
        <w:t>Na dislocirani enoti seveda ne morejo zagotavljati stalne prisotnosti nepedagoš</w:t>
      </w:r>
      <w:r>
        <w:rPr>
          <w:color w:val="0070C0"/>
          <w:u w:color="0070C0"/>
        </w:rPr>
        <w:t>kih delavcev. S strani vodstva zavoda pa je bilo zagotovljeno, da bo v dnevih, ko bo na dislocirani enoti potekal pouk, prisotna tudi sodelavka študijskega referata, ki bo zagotavljala nemoten potek vseh formalnih procesov, povezanih s študijem. Nepedagošk</w:t>
      </w:r>
      <w:r>
        <w:rPr>
          <w:color w:val="0070C0"/>
          <w:u w:color="0070C0"/>
        </w:rPr>
        <w:t>o osebje, ki sicer deluje na matični fakulteti, bo preko elektronske pošte in drugih IKT sredstev na voljo študentom v enaki meri kot na matični fakulteti v Celju. Prav tako je študentom omogočeno, da se kadarkoli po potrebi oglasijo v prostorih matične en</w:t>
      </w:r>
      <w:r>
        <w:rPr>
          <w:color w:val="0070C0"/>
          <w:u w:color="0070C0"/>
        </w:rPr>
        <w:t>ote v Celju.</w:t>
      </w:r>
    </w:p>
    <w:p w:rsidR="004547F6" w:rsidRDefault="004547F6">
      <w:pPr>
        <w:pStyle w:val="Body"/>
        <w:rPr>
          <w:color w:val="0070C0"/>
          <w:u w:color="0070C0"/>
        </w:rPr>
      </w:pPr>
    </w:p>
    <w:p w:rsidR="004547F6" w:rsidRDefault="005244D5">
      <w:pPr>
        <w:pStyle w:val="Body"/>
        <w:rPr>
          <w:color w:val="0070C0"/>
          <w:u w:color="0070C0"/>
        </w:rPr>
      </w:pPr>
      <w:r>
        <w:rPr>
          <w:color w:val="0070C0"/>
          <w:u w:color="0070C0"/>
        </w:rPr>
        <w:t>Tutorski sitem, ki je vpeljan na fakulteti, bo na dislocirani enoti deloval enako kot na matični fakulteti. Na osnovi preteklih izkušenj načrtujejo, da bo tutor v Ljubljani eden od rednih študentov, ki študira v Celju, a je sicer doma v Ljubl</w:t>
      </w:r>
      <w:r>
        <w:rPr>
          <w:color w:val="0070C0"/>
          <w:u w:color="0070C0"/>
        </w:rPr>
        <w:t>jani.</w:t>
      </w:r>
    </w:p>
    <w:p w:rsidR="004547F6" w:rsidRDefault="004547F6">
      <w:pPr>
        <w:pStyle w:val="Body"/>
        <w:rPr>
          <w:color w:val="0070C0"/>
          <w:u w:color="0070C0"/>
        </w:rPr>
      </w:pPr>
    </w:p>
    <w:p w:rsidR="004547F6" w:rsidRDefault="005244D5">
      <w:pPr>
        <w:pStyle w:val="Body"/>
        <w:rPr>
          <w:color w:val="0070C0"/>
          <w:u w:color="0070C0"/>
        </w:rPr>
      </w:pPr>
      <w:r>
        <w:rPr>
          <w:color w:val="0070C0"/>
          <w:u w:color="0070C0"/>
        </w:rPr>
        <w:t>Za delovanje kariernih centrov predvidevajo, da bo deloval v dnevih, ko bo na dislocirani enoti potekal pouk.</w:t>
      </w:r>
    </w:p>
    <w:p w:rsidR="004547F6" w:rsidRDefault="004547F6">
      <w:pPr>
        <w:pStyle w:val="Body"/>
      </w:pPr>
    </w:p>
    <w:p w:rsidR="004547F6" w:rsidRDefault="005244D5">
      <w:pPr>
        <w:pStyle w:val="Body"/>
        <w:rPr>
          <w:color w:val="0070C0"/>
          <w:u w:color="0070C0"/>
        </w:rPr>
      </w:pPr>
      <w:r>
        <w:rPr>
          <w:b/>
          <w:bCs/>
        </w:rPr>
        <w:t xml:space="preserve">Prednosti: </w:t>
      </w:r>
      <w:r>
        <w:rPr>
          <w:color w:val="0070C0"/>
          <w:u w:color="0070C0"/>
        </w:rPr>
        <w:t>Svetovalne in druge storitve bodo zagotovljene na enaki ravni kot na matični fakulteti.</w:t>
      </w:r>
    </w:p>
    <w:p w:rsidR="004547F6" w:rsidRDefault="004547F6">
      <w:pPr>
        <w:pStyle w:val="Body"/>
      </w:pPr>
    </w:p>
    <w:p w:rsidR="004547F6" w:rsidRDefault="005244D5">
      <w:pPr>
        <w:pStyle w:val="Body"/>
        <w:rPr>
          <w:b/>
          <w:bCs/>
        </w:rPr>
      </w:pPr>
      <w:r>
        <w:rPr>
          <w:b/>
          <w:bCs/>
        </w:rPr>
        <w:t xml:space="preserve">Priložnosti za izboljšanje: </w:t>
      </w:r>
      <w:r>
        <w:rPr>
          <w:color w:val="0070C0"/>
          <w:u w:color="0070C0"/>
        </w:rPr>
        <w:t>Nismo zazn</w:t>
      </w:r>
      <w:r>
        <w:rPr>
          <w:color w:val="0070C0"/>
          <w:u w:color="0070C0"/>
        </w:rPr>
        <w:t>ali.</w:t>
      </w:r>
    </w:p>
    <w:p w:rsidR="004547F6" w:rsidRDefault="004547F6">
      <w:pPr>
        <w:pStyle w:val="Body"/>
      </w:pPr>
    </w:p>
    <w:p w:rsidR="004547F6" w:rsidRDefault="005244D5">
      <w:pPr>
        <w:pStyle w:val="Body"/>
        <w:rPr>
          <w:color w:val="0070C0"/>
          <w:u w:color="0070C0"/>
        </w:rPr>
      </w:pPr>
      <w:r>
        <w:rPr>
          <w:b/>
          <w:bCs/>
        </w:rPr>
        <w:t>Večje pomanjkljivosti oziroma neskladnosti</w:t>
      </w:r>
      <w:r>
        <w:t xml:space="preserve">: </w:t>
      </w:r>
      <w:r>
        <w:rPr>
          <w:color w:val="0070C0"/>
          <w:u w:color="0070C0"/>
        </w:rPr>
        <w:t>Večjih pomanjkljivosti in neskladnosti ni.</w:t>
      </w:r>
    </w:p>
    <w:p w:rsidR="004547F6" w:rsidRDefault="004547F6">
      <w:pPr>
        <w:pStyle w:val="Body"/>
        <w:rPr>
          <w:b/>
          <w:bCs/>
        </w:rPr>
      </w:pPr>
    </w:p>
    <w:p w:rsidR="004547F6" w:rsidRDefault="004547F6">
      <w:pPr>
        <w:pStyle w:val="Body"/>
        <w:rPr>
          <w:b/>
          <w:bCs/>
        </w:rPr>
      </w:pPr>
    </w:p>
    <w:tbl>
      <w:tblPr>
        <w:tblW w:w="90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062"/>
      </w:tblGrid>
      <w:tr w:rsidR="004547F6" w:rsidRPr="005A511D">
        <w:trPr>
          <w:trHeight w:val="490"/>
        </w:trPr>
        <w:tc>
          <w:tcPr>
            <w:tcW w:w="90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547F6" w:rsidRDefault="005244D5">
            <w:pPr>
              <w:pStyle w:val="Body"/>
            </w:pPr>
            <w:r>
              <w:rPr>
                <w:b/>
                <w:bCs/>
              </w:rPr>
              <w:t>5. Zagotavljanje finančnih virov za dislocirano enoto</w:t>
            </w:r>
          </w:p>
        </w:tc>
      </w:tr>
    </w:tbl>
    <w:p w:rsidR="004547F6" w:rsidRDefault="004547F6">
      <w:pPr>
        <w:pStyle w:val="Body"/>
        <w:widowControl w:val="0"/>
        <w:rPr>
          <w:b/>
          <w:bCs/>
        </w:rPr>
      </w:pPr>
    </w:p>
    <w:p w:rsidR="004547F6" w:rsidRDefault="004547F6">
      <w:pPr>
        <w:pStyle w:val="Body"/>
        <w:rPr>
          <w:b/>
          <w:bCs/>
        </w:rPr>
      </w:pPr>
    </w:p>
    <w:p w:rsidR="004547F6" w:rsidRDefault="005244D5">
      <w:pPr>
        <w:pStyle w:val="Body"/>
        <w:rPr>
          <w:color w:val="0070C0"/>
          <w:u w:color="0070C0"/>
        </w:rPr>
      </w:pPr>
      <w:r>
        <w:rPr>
          <w:color w:val="0070C0"/>
          <w:u w:color="0070C0"/>
        </w:rPr>
        <w:t xml:space="preserve">Fakulteta bo na dislocirani enoti izvajala izredni študij, zato predvidevamo, da izvedba študija ne bo </w:t>
      </w:r>
      <w:r>
        <w:rPr>
          <w:color w:val="0070C0"/>
          <w:u w:color="0070C0"/>
        </w:rPr>
        <w:t>imela negativnih finančnih posledic. Opozorili bi na relativno nizko šolnino za izredni š</w:t>
      </w:r>
      <w:r>
        <w:rPr>
          <w:color w:val="0070C0"/>
          <w:u w:color="0070C0"/>
          <w:lang w:val="nl-NL"/>
        </w:rPr>
        <w:t xml:space="preserve">tudij (1.980 </w:t>
      </w:r>
      <w:r>
        <w:rPr>
          <w:color w:val="0070C0"/>
          <w:u w:color="0070C0"/>
        </w:rPr>
        <w:t>€), kar je le nekoliko več kot polovica šolnine za redni š</w:t>
      </w:r>
      <w:r>
        <w:rPr>
          <w:color w:val="0070C0"/>
          <w:u w:color="0070C0"/>
          <w:lang w:val="nl-NL"/>
        </w:rPr>
        <w:t xml:space="preserve">tudij (3.600 </w:t>
      </w:r>
      <w:r>
        <w:rPr>
          <w:color w:val="0070C0"/>
          <w:u w:color="0070C0"/>
        </w:rPr>
        <w:t>€). Hkrati predmetna šolnina predstavlja manj kot 40 % zneska sofinanciranja, ki ga</w:t>
      </w:r>
      <w:r>
        <w:rPr>
          <w:color w:val="0070C0"/>
          <w:u w:color="0070C0"/>
        </w:rPr>
        <w:t xml:space="preserve"> fakulteta dobi za vsakega redno vpisanega študenta po uredbi o financiranju. </w:t>
      </w:r>
    </w:p>
    <w:p w:rsidR="004547F6" w:rsidRDefault="005244D5">
      <w:pPr>
        <w:pStyle w:val="Body"/>
        <w:rPr>
          <w:color w:val="0070C0"/>
          <w:sz w:val="18"/>
          <w:szCs w:val="18"/>
          <w:u w:color="0070C0"/>
        </w:rPr>
      </w:pPr>
      <w:r>
        <w:rPr>
          <w:color w:val="0070C0"/>
          <w:sz w:val="18"/>
          <w:szCs w:val="18"/>
          <w:u w:color="0070C0"/>
        </w:rPr>
        <w:t xml:space="preserve">Viri: </w:t>
      </w:r>
    </w:p>
    <w:p w:rsidR="004547F6" w:rsidRDefault="005244D5">
      <w:pPr>
        <w:pStyle w:val="ListParagraph"/>
        <w:numPr>
          <w:ilvl w:val="0"/>
          <w:numId w:val="6"/>
        </w:numPr>
        <w:rPr>
          <w:color w:val="0070C0"/>
          <w:sz w:val="18"/>
          <w:szCs w:val="18"/>
        </w:rPr>
      </w:pPr>
      <w:r>
        <w:rPr>
          <w:color w:val="0070C0"/>
          <w:sz w:val="18"/>
          <w:szCs w:val="18"/>
          <w:u w:color="0070C0"/>
        </w:rPr>
        <w:t>Letno poročilo Univerze v Mariboru za leto 2017 (</w:t>
      </w:r>
      <w:hyperlink r:id="rId7" w:history="1">
        <w:r>
          <w:rPr>
            <w:rStyle w:val="Hyperlink0"/>
          </w:rPr>
          <w:t>https://www.um.si/univerza/dokumentni-center/programi-dela-poslovna-porocila/Narti%20in%20poroila/Poslovno%20poro%C4%8Dilo%20UM%202017_vsebinski%20del.pdf</w:t>
        </w:r>
      </w:hyperlink>
      <w:r>
        <w:rPr>
          <w:color w:val="0070C0"/>
          <w:sz w:val="18"/>
          <w:szCs w:val="18"/>
          <w:u w:color="0070C0"/>
        </w:rPr>
        <w:t>), str. 201.</w:t>
      </w:r>
    </w:p>
    <w:p w:rsidR="004547F6" w:rsidRDefault="005244D5">
      <w:pPr>
        <w:pStyle w:val="ListParagraph"/>
        <w:numPr>
          <w:ilvl w:val="0"/>
          <w:numId w:val="6"/>
        </w:numPr>
        <w:rPr>
          <w:color w:val="0070C0"/>
          <w:sz w:val="18"/>
          <w:szCs w:val="18"/>
        </w:rPr>
      </w:pPr>
      <w:r>
        <w:rPr>
          <w:color w:val="0070C0"/>
          <w:sz w:val="18"/>
          <w:szCs w:val="18"/>
          <w:u w:color="0070C0"/>
        </w:rPr>
        <w:t>Samoevalvacijsko poroč</w:t>
      </w:r>
      <w:r>
        <w:rPr>
          <w:color w:val="0070C0"/>
          <w:sz w:val="18"/>
          <w:szCs w:val="18"/>
          <w:u w:color="0070C0"/>
        </w:rPr>
        <w:t>ilo Fakultete za logistiko, študijsko leto 2016/2017 (</w:t>
      </w:r>
      <w:hyperlink r:id="rId8" w:history="1">
        <w:r>
          <w:rPr>
            <w:rStyle w:val="Link"/>
            <w:sz w:val="14"/>
            <w:szCs w:val="14"/>
          </w:rPr>
          <w:t>http://fl.um.si/wp-content/uploads/2014/03/Samoevalvacijsko-porocilo-FL-UM_17_18.pdf</w:t>
        </w:r>
      </w:hyperlink>
      <w:r>
        <w:rPr>
          <w:color w:val="0070C0"/>
          <w:sz w:val="18"/>
          <w:szCs w:val="18"/>
          <w:u w:color="0070C0"/>
        </w:rPr>
        <w:t>), str. 73.</w:t>
      </w:r>
    </w:p>
    <w:p w:rsidR="004547F6" w:rsidRDefault="004547F6">
      <w:pPr>
        <w:pStyle w:val="Body"/>
      </w:pPr>
    </w:p>
    <w:p w:rsidR="004547F6" w:rsidRDefault="005244D5">
      <w:pPr>
        <w:pStyle w:val="Body"/>
        <w:rPr>
          <w:color w:val="0070C0"/>
          <w:u w:color="0070C0"/>
        </w:rPr>
      </w:pPr>
      <w:r>
        <w:rPr>
          <w:b/>
          <w:bCs/>
        </w:rPr>
        <w:t>Predn</w:t>
      </w:r>
      <w:r>
        <w:rPr>
          <w:b/>
          <w:bCs/>
        </w:rPr>
        <w:t xml:space="preserve">osti: </w:t>
      </w:r>
      <w:r>
        <w:rPr>
          <w:color w:val="0070C0"/>
          <w:u w:color="0070C0"/>
        </w:rPr>
        <w:t>Finančna sredstva za izvedbo izrednega študija so zagotovljena.</w:t>
      </w:r>
    </w:p>
    <w:p w:rsidR="004547F6" w:rsidRDefault="004547F6">
      <w:pPr>
        <w:pStyle w:val="Body"/>
      </w:pPr>
    </w:p>
    <w:p w:rsidR="004547F6" w:rsidRDefault="005244D5">
      <w:pPr>
        <w:pStyle w:val="Body"/>
        <w:rPr>
          <w:b/>
          <w:bCs/>
        </w:rPr>
      </w:pPr>
      <w:r>
        <w:rPr>
          <w:b/>
          <w:bCs/>
        </w:rPr>
        <w:t xml:space="preserve">Priložnosti za izboljšanje: </w:t>
      </w:r>
      <w:r>
        <w:rPr>
          <w:color w:val="0070C0"/>
          <w:u w:color="0070C0"/>
        </w:rPr>
        <w:t>Opozarjamo na nesorazmerje med šolninami za redni in izredni študij ter v primerjavi s sredstvi po uredbi o financiranju.</w:t>
      </w:r>
    </w:p>
    <w:p w:rsidR="004547F6" w:rsidRDefault="004547F6">
      <w:pPr>
        <w:pStyle w:val="Body"/>
      </w:pPr>
    </w:p>
    <w:p w:rsidR="004547F6" w:rsidRDefault="005244D5">
      <w:pPr>
        <w:pStyle w:val="Body"/>
        <w:rPr>
          <w:color w:val="0070C0"/>
          <w:u w:color="0070C0"/>
        </w:rPr>
      </w:pPr>
      <w:r>
        <w:rPr>
          <w:b/>
          <w:bCs/>
        </w:rPr>
        <w:t>Večje pomanjkljivosti oziroma nesk</w:t>
      </w:r>
      <w:r>
        <w:rPr>
          <w:b/>
          <w:bCs/>
        </w:rPr>
        <w:t>ladnosti</w:t>
      </w:r>
      <w:r>
        <w:t xml:space="preserve">: </w:t>
      </w:r>
      <w:r>
        <w:rPr>
          <w:color w:val="0070C0"/>
          <w:u w:color="0070C0"/>
        </w:rPr>
        <w:t>Večjih pomanjkljivosti in neskladnosti ni.</w:t>
      </w:r>
    </w:p>
    <w:p w:rsidR="004547F6" w:rsidRDefault="004547F6">
      <w:pPr>
        <w:pStyle w:val="Body"/>
        <w:rPr>
          <w:b/>
          <w:bCs/>
        </w:rPr>
      </w:pPr>
    </w:p>
    <w:p w:rsidR="004547F6" w:rsidRDefault="004547F6">
      <w:pPr>
        <w:pStyle w:val="Body"/>
        <w:rPr>
          <w:b/>
          <w:bCs/>
        </w:rPr>
      </w:pPr>
    </w:p>
    <w:tbl>
      <w:tblPr>
        <w:tblW w:w="90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062"/>
      </w:tblGrid>
      <w:tr w:rsidR="004547F6" w:rsidRPr="005A511D">
        <w:trPr>
          <w:trHeight w:val="490"/>
        </w:trPr>
        <w:tc>
          <w:tcPr>
            <w:tcW w:w="90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547F6" w:rsidRDefault="005244D5">
            <w:pPr>
              <w:pStyle w:val="Body"/>
            </w:pPr>
            <w:r>
              <w:rPr>
                <w:b/>
                <w:bCs/>
              </w:rPr>
              <w:t>6. Delovanje sistema kakovosti na visokošolskem zavodu in načrtovanje samoevalvacije dislocirane enote..</w:t>
            </w:r>
          </w:p>
        </w:tc>
      </w:tr>
    </w:tbl>
    <w:p w:rsidR="004547F6" w:rsidRDefault="004547F6">
      <w:pPr>
        <w:pStyle w:val="Body"/>
        <w:widowControl w:val="0"/>
        <w:rPr>
          <w:b/>
          <w:bCs/>
        </w:rPr>
      </w:pPr>
    </w:p>
    <w:p w:rsidR="004547F6" w:rsidRDefault="004547F6">
      <w:pPr>
        <w:pStyle w:val="Body"/>
        <w:rPr>
          <w:b/>
          <w:bCs/>
        </w:rPr>
      </w:pPr>
    </w:p>
    <w:p w:rsidR="004547F6" w:rsidRDefault="005244D5">
      <w:pPr>
        <w:pStyle w:val="Body"/>
        <w:rPr>
          <w:color w:val="0070C0"/>
          <w:u w:color="0070C0"/>
        </w:rPr>
      </w:pPr>
      <w:r>
        <w:rPr>
          <w:color w:val="0070C0"/>
          <w:u w:color="0070C0"/>
        </w:rPr>
        <w:t xml:space="preserve">Fakulteta za logistiko je, kot ena od članic Univerze v Mariboru, dolžna slediti smernicam </w:t>
      </w:r>
      <w:r>
        <w:rPr>
          <w:color w:val="0070C0"/>
          <w:u w:color="0070C0"/>
        </w:rPr>
        <w:t>univerze na področju zagotavljanja kakovosti. V tej zvezi skupina strokovnjakov ugotavlja, da je sistem za ohranjanje in izboljševanje kakovosti znotraj Univerze v Mariboru zgledno postavljen. Na podlagi predpisanih smernic fakulteta opravlja redne samoeva</w:t>
      </w:r>
      <w:r>
        <w:rPr>
          <w:color w:val="0070C0"/>
          <w:u w:color="0070C0"/>
        </w:rPr>
        <w:t>lvacije.</w:t>
      </w:r>
    </w:p>
    <w:p w:rsidR="004547F6" w:rsidRDefault="004547F6">
      <w:pPr>
        <w:pStyle w:val="Body"/>
        <w:rPr>
          <w:color w:val="0070C0"/>
          <w:u w:color="0070C0"/>
        </w:rPr>
      </w:pPr>
    </w:p>
    <w:p w:rsidR="004547F6" w:rsidRDefault="005244D5">
      <w:pPr>
        <w:pStyle w:val="Body"/>
        <w:rPr>
          <w:color w:val="0070C0"/>
          <w:u w:color="0070C0"/>
        </w:rPr>
      </w:pPr>
      <w:r>
        <w:rPr>
          <w:color w:val="0070C0"/>
          <w:u w:color="0070C0"/>
        </w:rPr>
        <w:t xml:space="preserve">Skupina strokovnjakov je opazila, da so samoevalvacijska poročila iz leta v leto obširnejša, zaradi česar so posledično manj pregledna. Hkrati se v tem primeru pojavi pomislek uporabnosti takšnih poročil. Samoevalvacijska poročila bi morala biti </w:t>
      </w:r>
      <w:r>
        <w:rPr>
          <w:color w:val="0070C0"/>
          <w:u w:color="0070C0"/>
        </w:rPr>
        <w:t xml:space="preserve">v prvi vrsti namenjena fakulteti sami, ki s tem dokumentom zapisuje opazke, načrte za izboljšavo, njihovo izvedbo in posledice, skratka zaključen krog kakovosti. Zato predlagamo, da se samoevalvacijska poročila pripravijo v obliki (izločitev ponavljajočih </w:t>
      </w:r>
      <w:r>
        <w:rPr>
          <w:color w:val="0070C0"/>
          <w:u w:color="0070C0"/>
        </w:rPr>
        <w:t>delov poročila, skrajšanje posameznih delov, itd.), ki bi bila bližja njihovim uporabnikom, torej sodelavcem fakultete.</w:t>
      </w:r>
    </w:p>
    <w:p w:rsidR="004547F6" w:rsidRDefault="004547F6">
      <w:pPr>
        <w:pStyle w:val="Body"/>
      </w:pPr>
    </w:p>
    <w:p w:rsidR="004547F6" w:rsidRDefault="005244D5">
      <w:pPr>
        <w:pStyle w:val="Body"/>
        <w:rPr>
          <w:color w:val="0070C0"/>
          <w:u w:color="0070C0"/>
        </w:rPr>
      </w:pPr>
      <w:r>
        <w:rPr>
          <w:b/>
          <w:bCs/>
        </w:rPr>
        <w:t xml:space="preserve">Prednosti: </w:t>
      </w:r>
      <w:r>
        <w:rPr>
          <w:color w:val="0070C0"/>
          <w:u w:color="0070C0"/>
        </w:rPr>
        <w:t>Sistem kakovosti je zgledno organiziran, procesi, povezani z zagotavljanjem kakovosti, redno potekajo.</w:t>
      </w:r>
    </w:p>
    <w:p w:rsidR="004547F6" w:rsidRDefault="004547F6">
      <w:pPr>
        <w:pStyle w:val="Body"/>
      </w:pPr>
    </w:p>
    <w:p w:rsidR="004547F6" w:rsidRDefault="005244D5">
      <w:pPr>
        <w:pStyle w:val="Body"/>
        <w:rPr>
          <w:b/>
          <w:bCs/>
        </w:rPr>
      </w:pPr>
      <w:r>
        <w:rPr>
          <w:b/>
          <w:bCs/>
        </w:rPr>
        <w:t>Priložnosti za izbol</w:t>
      </w:r>
      <w:r>
        <w:rPr>
          <w:b/>
          <w:bCs/>
        </w:rPr>
        <w:t xml:space="preserve">jšanje: </w:t>
      </w:r>
      <w:r>
        <w:rPr>
          <w:color w:val="0070C0"/>
          <w:u w:color="0070C0"/>
        </w:rPr>
        <w:t>Samoevalvacijska poročila bi lahko bila strukturirana tako, da bi jih sodelavci fakultete lažje uporabili.</w:t>
      </w:r>
    </w:p>
    <w:p w:rsidR="004547F6" w:rsidRDefault="004547F6">
      <w:pPr>
        <w:pStyle w:val="Body"/>
      </w:pPr>
    </w:p>
    <w:p w:rsidR="004547F6" w:rsidRDefault="005244D5">
      <w:pPr>
        <w:pStyle w:val="Body"/>
        <w:rPr>
          <w:color w:val="0070C0"/>
          <w:u w:color="0070C0"/>
        </w:rPr>
      </w:pPr>
      <w:r>
        <w:rPr>
          <w:b/>
          <w:bCs/>
        </w:rPr>
        <w:t>Večje pomanjkljivosti oziroma neskladnosti</w:t>
      </w:r>
      <w:r>
        <w:t xml:space="preserve">: </w:t>
      </w:r>
      <w:r>
        <w:rPr>
          <w:color w:val="0070C0"/>
          <w:u w:color="0070C0"/>
        </w:rPr>
        <w:t>Večjih pomanjkljivosti in neskladnosti ni.</w:t>
      </w:r>
    </w:p>
    <w:p w:rsidR="004547F6" w:rsidRDefault="005244D5">
      <w:pPr>
        <w:pStyle w:val="Body"/>
        <w:rPr>
          <w:b/>
          <w:bCs/>
        </w:rPr>
      </w:pPr>
      <w:r>
        <w:rPr>
          <w:b/>
          <w:bCs/>
        </w:rPr>
        <w:t xml:space="preserve"> </w:t>
      </w:r>
    </w:p>
    <w:p w:rsidR="004547F6" w:rsidRDefault="005244D5">
      <w:pPr>
        <w:pStyle w:val="Body"/>
        <w:spacing w:after="200" w:line="276" w:lineRule="auto"/>
        <w:jc w:val="left"/>
      </w:pPr>
      <w:r>
        <w:rPr>
          <w:rFonts w:ascii="Arial Unicode MS" w:hAnsi="Arial Unicode MS"/>
        </w:rPr>
        <w:br w:type="page"/>
      </w:r>
    </w:p>
    <w:p w:rsidR="004547F6" w:rsidRDefault="005244D5">
      <w:pPr>
        <w:pStyle w:val="Body"/>
        <w:spacing w:after="120"/>
        <w:jc w:val="left"/>
        <w:rPr>
          <w:b/>
          <w:bCs/>
        </w:rPr>
      </w:pPr>
      <w:r>
        <w:rPr>
          <w:b/>
          <w:bCs/>
        </w:rPr>
        <w:t>POVZETEK</w:t>
      </w:r>
    </w:p>
    <w:p w:rsidR="004547F6" w:rsidRDefault="005244D5">
      <w:pPr>
        <w:pStyle w:val="Body"/>
        <w:rPr>
          <w:color w:val="0070C0"/>
          <w:u w:color="0070C0"/>
        </w:rPr>
      </w:pPr>
      <w:r>
        <w:rPr>
          <w:color w:val="0070C0"/>
          <w:u w:color="0070C0"/>
        </w:rPr>
        <w:t xml:space="preserve">Skupina strokovnjakov je po pregledu </w:t>
      </w:r>
      <w:r>
        <w:rPr>
          <w:color w:val="0070C0"/>
          <w:u w:color="0070C0"/>
        </w:rPr>
        <w:t>gradiva ter po obisku prostorov CPU na Kardeljevi ploščadi 27 v Ljubljani ugotovila, da dislocirana enota po vseh šestih področjih presoje ustreza pogojem. Pohvalimo lahko urejenost prostorov, pripravljenost opreme in organizacije pedagoških procesov (raču</w:t>
      </w:r>
      <w:r>
        <w:rPr>
          <w:color w:val="0070C0"/>
          <w:u w:color="0070C0"/>
        </w:rPr>
        <w:t>nalniška učilnica, delovanje knjižnice, referata, tutorskega sistema, kariernega svetovanja in drugega). Zelo pozitivna je tudi ocena pedagoškega osebja fakultete, ki izkazuje visoko raven znanstveno-raziskovalne dejavnosti. Kot priložnosti za izboljšavo s</w:t>
      </w:r>
      <w:r>
        <w:rPr>
          <w:color w:val="0070C0"/>
          <w:u w:color="0070C0"/>
        </w:rPr>
        <w:t>kupina predlaga predvsem spremembo v izvedbi izrednega študija, ki v strnjenih blokih za posamezne predmete vsaj pri nekaterih teoretičnih predmetih slabšajo kakovost in trajnost pridobljenega znanja. V celoti vzeto skupina strokovnjakov podpira akreditaci</w:t>
      </w:r>
      <w:r>
        <w:rPr>
          <w:color w:val="0070C0"/>
          <w:u w:color="0070C0"/>
        </w:rPr>
        <w:t>jo dislocirane enote Fakultete za logistiko.</w:t>
      </w:r>
    </w:p>
    <w:p w:rsidR="004547F6" w:rsidRDefault="004547F6">
      <w:pPr>
        <w:pStyle w:val="Body"/>
        <w:spacing w:after="120"/>
        <w:rPr>
          <w:b/>
          <w:bCs/>
        </w:rPr>
      </w:pPr>
    </w:p>
    <w:p w:rsidR="004547F6" w:rsidRDefault="005244D5">
      <w:pPr>
        <w:pStyle w:val="Body"/>
        <w:spacing w:after="120"/>
        <w:rPr>
          <w:b/>
          <w:bCs/>
        </w:rPr>
      </w:pPr>
      <w:r>
        <w:rPr>
          <w:b/>
          <w:bCs/>
          <w:lang w:val="en-US"/>
        </w:rPr>
        <w:t xml:space="preserve">SUMMARY </w:t>
      </w:r>
    </w:p>
    <w:p w:rsidR="004547F6" w:rsidRDefault="004547F6">
      <w:pPr>
        <w:pStyle w:val="Body"/>
      </w:pPr>
    </w:p>
    <w:p w:rsidR="004547F6" w:rsidRPr="0057371F" w:rsidRDefault="005A511D" w:rsidP="005A511D">
      <w:pPr>
        <w:pStyle w:val="Body"/>
        <w:spacing w:after="120"/>
        <w:rPr>
          <w:color w:val="0070C0"/>
          <w:u w:color="0070C0"/>
          <w:lang w:val="en-GB"/>
        </w:rPr>
      </w:pPr>
      <w:r w:rsidRPr="0057371F">
        <w:rPr>
          <w:color w:val="0070C0"/>
          <w:u w:color="0070C0"/>
          <w:lang w:val="en-GB"/>
        </w:rPr>
        <w:t>The review of the application and a visit of the CPU premises at Kardeljeva ploščad 27 in Ljubljana revealed that the dislocated unit meets the requirements in all six areas of assessment. The arrangement of the premises, the equipment's readiness and the organization of pedagogical processes meet the requirements (computer classroom, the library, the paper, the tutorial system, career counsel</w:t>
      </w:r>
      <w:r w:rsidR="0057371F">
        <w:rPr>
          <w:color w:val="0070C0"/>
          <w:u w:color="0070C0"/>
          <w:lang w:val="en-GB"/>
        </w:rPr>
        <w:t>l</w:t>
      </w:r>
      <w:r w:rsidRPr="0057371F">
        <w:rPr>
          <w:color w:val="0070C0"/>
          <w:u w:color="0070C0"/>
          <w:lang w:val="en-GB"/>
        </w:rPr>
        <w:t xml:space="preserve">ing and other). </w:t>
      </w:r>
      <w:r w:rsidR="0057371F">
        <w:rPr>
          <w:color w:val="0070C0"/>
          <w:u w:color="0070C0"/>
          <w:lang w:val="en-GB"/>
        </w:rPr>
        <w:t>P</w:t>
      </w:r>
      <w:r w:rsidRPr="0057371F">
        <w:rPr>
          <w:color w:val="0070C0"/>
          <w:u w:color="0070C0"/>
          <w:lang w:val="en-GB"/>
        </w:rPr>
        <w:t xml:space="preserve">edagogical staff at the faculty </w:t>
      </w:r>
      <w:r w:rsidR="0057371F">
        <w:rPr>
          <w:color w:val="0070C0"/>
          <w:u w:color="0070C0"/>
          <w:lang w:val="en-GB"/>
        </w:rPr>
        <w:t>is adequate</w:t>
      </w:r>
      <w:r w:rsidRPr="0057371F">
        <w:rPr>
          <w:color w:val="0070C0"/>
          <w:u w:color="0070C0"/>
          <w:lang w:val="en-GB"/>
        </w:rPr>
        <w:t>, since all professors show a high level of scientific and research activity. As a</w:t>
      </w:r>
      <w:r w:rsidR="0057371F">
        <w:rPr>
          <w:color w:val="0070C0"/>
          <w:u w:color="0070C0"/>
          <w:lang w:val="en-GB"/>
        </w:rPr>
        <w:t xml:space="preserve"> proposal</w:t>
      </w:r>
      <w:r w:rsidRPr="0057371F">
        <w:rPr>
          <w:color w:val="0070C0"/>
          <w:u w:color="0070C0"/>
          <w:lang w:val="en-GB"/>
        </w:rPr>
        <w:t xml:space="preserve"> for improvement, the group </w:t>
      </w:r>
      <w:r w:rsidR="0057371F">
        <w:rPr>
          <w:color w:val="0070C0"/>
          <w:u w:color="0070C0"/>
          <w:lang w:val="en-GB"/>
        </w:rPr>
        <w:t>suggests</w:t>
      </w:r>
      <w:r w:rsidRPr="0057371F">
        <w:rPr>
          <w:color w:val="0070C0"/>
          <w:u w:color="0070C0"/>
          <w:lang w:val="en-GB"/>
        </w:rPr>
        <w:t xml:space="preserve"> a modification in the implementation of part-time studies which reduces the quality and durability of the acquired knowledge for some mostly t</w:t>
      </w:r>
      <w:r w:rsidR="0057371F">
        <w:rPr>
          <w:color w:val="0070C0"/>
          <w:u w:color="0070C0"/>
          <w:lang w:val="en-GB"/>
        </w:rPr>
        <w:t>h</w:t>
      </w:r>
      <w:r w:rsidRPr="0057371F">
        <w:rPr>
          <w:color w:val="0070C0"/>
          <w:u w:color="0070C0"/>
          <w:lang w:val="en-GB"/>
        </w:rPr>
        <w:t xml:space="preserve">eoretical subjects. The problem stems from the basic organization of the classes in short 3-weeks blocks. </w:t>
      </w:r>
      <w:r w:rsidR="0057371F">
        <w:rPr>
          <w:color w:val="0070C0"/>
          <w:u w:color="0070C0"/>
          <w:lang w:val="en-GB"/>
        </w:rPr>
        <w:t>In conclusion, a</w:t>
      </w:r>
      <w:r w:rsidRPr="0057371F">
        <w:rPr>
          <w:color w:val="0070C0"/>
          <w:u w:color="0070C0"/>
          <w:lang w:val="en-GB"/>
        </w:rPr>
        <w:t xml:space="preserve"> group of experts supports the accreditation of the dislocated unit of the Faculty of Logistics.</w:t>
      </w:r>
    </w:p>
    <w:p w:rsidR="004547F6" w:rsidRDefault="004547F6">
      <w:pPr>
        <w:pStyle w:val="Body"/>
        <w:spacing w:after="120"/>
        <w:rPr>
          <w:b/>
          <w:bCs/>
        </w:rPr>
      </w:pPr>
    </w:p>
    <w:p w:rsidR="004547F6" w:rsidRDefault="004547F6">
      <w:pPr>
        <w:pStyle w:val="Body"/>
        <w:spacing w:after="120"/>
        <w:rPr>
          <w:b/>
          <w:bCs/>
        </w:rPr>
      </w:pPr>
    </w:p>
    <w:p w:rsidR="004547F6" w:rsidRDefault="005244D5">
      <w:pPr>
        <w:pStyle w:val="Body"/>
      </w:pPr>
      <w:r>
        <w:rPr>
          <w:b/>
          <w:bCs/>
        </w:rPr>
        <w:t>Priloge</w:t>
      </w:r>
      <w:r>
        <w:t>:</w:t>
      </w:r>
    </w:p>
    <w:p w:rsidR="004547F6" w:rsidRDefault="005244D5">
      <w:pPr>
        <w:pStyle w:val="ListParagraph"/>
        <w:numPr>
          <w:ilvl w:val="0"/>
          <w:numId w:val="8"/>
        </w:numPr>
        <w:spacing w:after="120"/>
      </w:pPr>
      <w:r>
        <w:t>soglasje članov skupine strokovnjakov k poročilu</w:t>
      </w:r>
    </w:p>
    <w:sectPr w:rsidR="004547F6">
      <w:headerReference w:type="default" r:id="rId9"/>
      <w:footerReference w:type="default" r:id="rId10"/>
      <w:pgSz w:w="11900" w:h="16840"/>
      <w:pgMar w:top="297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44D5" w:rsidRDefault="005244D5">
      <w:r>
        <w:separator/>
      </w:r>
    </w:p>
  </w:endnote>
  <w:endnote w:type="continuationSeparator" w:id="0">
    <w:p w:rsidR="005244D5" w:rsidRDefault="00524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7F6" w:rsidRDefault="005244D5">
    <w:pPr>
      <w:pStyle w:val="Footer"/>
      <w:jc w:val="center"/>
    </w:pPr>
    <w:r>
      <w:rPr>
        <w:noProof/>
      </w:rPr>
      <w:drawing>
        <wp:inline distT="0" distB="0" distL="0" distR="0">
          <wp:extent cx="5520691" cy="401955"/>
          <wp:effectExtent l="0" t="0" r="0" b="0"/>
          <wp:docPr id="1073741826" name="officeArt object" descr="Opis: NAKVIS dopisni list EU_CB_noga"/>
          <wp:cNvGraphicFramePr/>
          <a:graphic xmlns:a="http://schemas.openxmlformats.org/drawingml/2006/main">
            <a:graphicData uri="http://schemas.openxmlformats.org/drawingml/2006/picture">
              <pic:pic xmlns:pic="http://schemas.openxmlformats.org/drawingml/2006/picture">
                <pic:nvPicPr>
                  <pic:cNvPr id="1073741826" name="Opis: NAKVIS dopisni list EU_CB_noga" descr="Opis: NAKVIS dopisni list EU_CB_noga"/>
                  <pic:cNvPicPr>
                    <a:picLocks noChangeAspect="1"/>
                  </pic:cNvPicPr>
                </pic:nvPicPr>
                <pic:blipFill>
                  <a:blip r:embed="rId1">
                    <a:extLst/>
                  </a:blip>
                  <a:stretch>
                    <a:fillRect/>
                  </a:stretch>
                </pic:blipFill>
                <pic:spPr>
                  <a:xfrm>
                    <a:off x="0" y="0"/>
                    <a:ext cx="5520691" cy="401955"/>
                  </a:xfrm>
                  <a:prstGeom prst="rect">
                    <a:avLst/>
                  </a:prstGeom>
                  <a:ln w="12700" cap="flat">
                    <a:noFill/>
                    <a:miter lim="400000"/>
                  </a:ln>
                  <a:effectLst/>
                </pic:spPr>
              </pic:pic>
            </a:graphicData>
          </a:graphic>
        </wp:inline>
      </w:drawing>
    </w:r>
    <w:r>
      <w:tab/>
    </w:r>
    <w:r>
      <w:rPr>
        <w:sz w:val="18"/>
        <w:szCs w:val="18"/>
      </w:rPr>
      <w:fldChar w:fldCharType="begin"/>
    </w:r>
    <w:r>
      <w:rPr>
        <w:sz w:val="18"/>
        <w:szCs w:val="18"/>
      </w:rPr>
      <w:instrText xml:space="preserve"> PAGE </w:instrText>
    </w:r>
    <w:r>
      <w:rPr>
        <w:sz w:val="18"/>
        <w:szCs w:val="18"/>
      </w:rPr>
      <w:fldChar w:fldCharType="separate"/>
    </w:r>
    <w:r w:rsidR="00836946">
      <w:rPr>
        <w:noProof/>
        <w:sz w:val="18"/>
        <w:szCs w:val="18"/>
      </w:rPr>
      <w:t>1</w:t>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44D5" w:rsidRDefault="005244D5">
      <w:r>
        <w:separator/>
      </w:r>
    </w:p>
  </w:footnote>
  <w:footnote w:type="continuationSeparator" w:id="0">
    <w:p w:rsidR="005244D5" w:rsidRDefault="005244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7F6" w:rsidRDefault="005244D5">
    <w:pPr>
      <w:pStyle w:val="Header"/>
      <w:tabs>
        <w:tab w:val="clear" w:pos="9072"/>
        <w:tab w:val="right" w:pos="9046"/>
      </w:tabs>
    </w:pPr>
    <w:r>
      <w:rPr>
        <w:noProof/>
      </w:rPr>
      <w:drawing>
        <wp:inline distT="0" distB="0" distL="0" distR="0">
          <wp:extent cx="2359025" cy="1375411"/>
          <wp:effectExtent l="0" t="0" r="0" b="0"/>
          <wp:docPr id="1073741825" name="officeArt object" descr="NAKVIS dopisni list_logo_CB_glava"/>
          <wp:cNvGraphicFramePr/>
          <a:graphic xmlns:a="http://schemas.openxmlformats.org/drawingml/2006/main">
            <a:graphicData uri="http://schemas.openxmlformats.org/drawingml/2006/picture">
              <pic:pic xmlns:pic="http://schemas.openxmlformats.org/drawingml/2006/picture">
                <pic:nvPicPr>
                  <pic:cNvPr id="1073741825" name="NAKVIS dopisni list_logo_CB_glava" descr="NAKVIS dopisni list_logo_CB_glava"/>
                  <pic:cNvPicPr>
                    <a:picLocks noChangeAspect="1"/>
                  </pic:cNvPicPr>
                </pic:nvPicPr>
                <pic:blipFill>
                  <a:blip r:embed="rId1">
                    <a:extLst/>
                  </a:blip>
                  <a:stretch>
                    <a:fillRect/>
                  </a:stretch>
                </pic:blipFill>
                <pic:spPr>
                  <a:xfrm>
                    <a:off x="0" y="0"/>
                    <a:ext cx="2359025" cy="1375411"/>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A33965"/>
    <w:multiLevelType w:val="hybridMultilevel"/>
    <w:tmpl w:val="EC7CDC8C"/>
    <w:numStyleLink w:val="ImportedStyle1"/>
  </w:abstractNum>
  <w:abstractNum w:abstractNumId="1" w15:restartNumberingAfterBreak="0">
    <w:nsid w:val="23680773"/>
    <w:multiLevelType w:val="hybridMultilevel"/>
    <w:tmpl w:val="EC7CDC8C"/>
    <w:styleLink w:val="ImportedStyle1"/>
    <w:lvl w:ilvl="0" w:tplc="879CDA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30139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01C6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8FEE0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98417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310577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658823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C8F8B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9F0A50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6BF1699"/>
    <w:multiLevelType w:val="hybridMultilevel"/>
    <w:tmpl w:val="7F1A7F7A"/>
    <w:numStyleLink w:val="ImportedStyle2"/>
  </w:abstractNum>
  <w:abstractNum w:abstractNumId="3" w15:restartNumberingAfterBreak="0">
    <w:nsid w:val="37266B28"/>
    <w:multiLevelType w:val="hybridMultilevel"/>
    <w:tmpl w:val="0DF0ECEC"/>
    <w:numStyleLink w:val="ImportedStyle4"/>
  </w:abstractNum>
  <w:abstractNum w:abstractNumId="4" w15:restartNumberingAfterBreak="0">
    <w:nsid w:val="44D84A40"/>
    <w:multiLevelType w:val="hybridMultilevel"/>
    <w:tmpl w:val="7F1A7F7A"/>
    <w:styleLink w:val="ImportedStyle2"/>
    <w:lvl w:ilvl="0" w:tplc="E8EA1F8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6846C7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E3EA83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2DAD1B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7EADC8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BBA5BC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880967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DC2202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FC249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96C3380"/>
    <w:multiLevelType w:val="hybridMultilevel"/>
    <w:tmpl w:val="D4C2CABC"/>
    <w:styleLink w:val="ImportedStyle3"/>
    <w:lvl w:ilvl="0" w:tplc="2D686842">
      <w:start w:val="1"/>
      <w:numFmt w:val="bullet"/>
      <w:lvlText w:val="·"/>
      <w:lvlJc w:val="left"/>
      <w:pPr>
        <w:ind w:left="640" w:hanging="280"/>
      </w:pPr>
      <w:rPr>
        <w:rFonts w:ascii="Symbol" w:eastAsia="Symbol" w:hAnsi="Symbol" w:cs="Symbol"/>
        <w:b w:val="0"/>
        <w:bCs w:val="0"/>
        <w:i w:val="0"/>
        <w:iCs w:val="0"/>
        <w:caps w:val="0"/>
        <w:smallCaps w:val="0"/>
        <w:strike w:val="0"/>
        <w:dstrike w:val="0"/>
        <w:outline w:val="0"/>
        <w:emboss w:val="0"/>
        <w:imprint w:val="0"/>
        <w:spacing w:val="0"/>
        <w:w w:val="100"/>
        <w:kern w:val="0"/>
        <w:position w:val="0"/>
        <w:sz w:val="14"/>
        <w:szCs w:val="14"/>
        <w:highlight w:val="none"/>
        <w:vertAlign w:val="baseline"/>
      </w:rPr>
    </w:lvl>
    <w:lvl w:ilvl="1" w:tplc="1194A8B2">
      <w:start w:val="1"/>
      <w:numFmt w:val="bullet"/>
      <w:lvlText w:val="o"/>
      <w:lvlJc w:val="left"/>
      <w:pPr>
        <w:ind w:left="1360" w:hanging="2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 w:ilvl="2" w:tplc="5630C508">
      <w:start w:val="1"/>
      <w:numFmt w:val="bullet"/>
      <w:lvlText w:val="▪"/>
      <w:lvlJc w:val="left"/>
      <w:pPr>
        <w:ind w:left="2080" w:hanging="2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 w:ilvl="3" w:tplc="74460780">
      <w:start w:val="1"/>
      <w:numFmt w:val="bullet"/>
      <w:lvlText w:val="·"/>
      <w:lvlJc w:val="left"/>
      <w:pPr>
        <w:ind w:left="2800" w:hanging="280"/>
      </w:pPr>
      <w:rPr>
        <w:rFonts w:ascii="Symbol" w:eastAsia="Symbol" w:hAnsi="Symbol" w:cs="Symbol"/>
        <w:b w:val="0"/>
        <w:bCs w:val="0"/>
        <w:i w:val="0"/>
        <w:iCs w:val="0"/>
        <w:caps w:val="0"/>
        <w:smallCaps w:val="0"/>
        <w:strike w:val="0"/>
        <w:dstrike w:val="0"/>
        <w:outline w:val="0"/>
        <w:emboss w:val="0"/>
        <w:imprint w:val="0"/>
        <w:spacing w:val="0"/>
        <w:w w:val="100"/>
        <w:kern w:val="0"/>
        <w:position w:val="0"/>
        <w:sz w:val="14"/>
        <w:szCs w:val="14"/>
        <w:highlight w:val="none"/>
        <w:vertAlign w:val="baseline"/>
      </w:rPr>
    </w:lvl>
    <w:lvl w:ilvl="4" w:tplc="1C4045DA">
      <w:start w:val="1"/>
      <w:numFmt w:val="bullet"/>
      <w:lvlText w:val="o"/>
      <w:lvlJc w:val="left"/>
      <w:pPr>
        <w:ind w:left="3520" w:hanging="2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 w:ilvl="5" w:tplc="151AED28">
      <w:start w:val="1"/>
      <w:numFmt w:val="bullet"/>
      <w:lvlText w:val="▪"/>
      <w:lvlJc w:val="left"/>
      <w:pPr>
        <w:ind w:left="4240" w:hanging="2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 w:ilvl="6" w:tplc="C73CDD98">
      <w:start w:val="1"/>
      <w:numFmt w:val="bullet"/>
      <w:lvlText w:val="·"/>
      <w:lvlJc w:val="left"/>
      <w:pPr>
        <w:ind w:left="4960" w:hanging="280"/>
      </w:pPr>
      <w:rPr>
        <w:rFonts w:ascii="Symbol" w:eastAsia="Symbol" w:hAnsi="Symbol" w:cs="Symbol"/>
        <w:b w:val="0"/>
        <w:bCs w:val="0"/>
        <w:i w:val="0"/>
        <w:iCs w:val="0"/>
        <w:caps w:val="0"/>
        <w:smallCaps w:val="0"/>
        <w:strike w:val="0"/>
        <w:dstrike w:val="0"/>
        <w:outline w:val="0"/>
        <w:emboss w:val="0"/>
        <w:imprint w:val="0"/>
        <w:spacing w:val="0"/>
        <w:w w:val="100"/>
        <w:kern w:val="0"/>
        <w:position w:val="0"/>
        <w:sz w:val="14"/>
        <w:szCs w:val="14"/>
        <w:highlight w:val="none"/>
        <w:vertAlign w:val="baseline"/>
      </w:rPr>
    </w:lvl>
    <w:lvl w:ilvl="7" w:tplc="B8B4676C">
      <w:start w:val="1"/>
      <w:numFmt w:val="bullet"/>
      <w:lvlText w:val="o"/>
      <w:lvlJc w:val="left"/>
      <w:pPr>
        <w:ind w:left="5680" w:hanging="2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 w:ilvl="8" w:tplc="0C683C36">
      <w:start w:val="1"/>
      <w:numFmt w:val="bullet"/>
      <w:lvlText w:val="▪"/>
      <w:lvlJc w:val="left"/>
      <w:pPr>
        <w:ind w:left="6400" w:hanging="2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abstractNum>
  <w:abstractNum w:abstractNumId="6" w15:restartNumberingAfterBreak="0">
    <w:nsid w:val="6A411BDC"/>
    <w:multiLevelType w:val="hybridMultilevel"/>
    <w:tmpl w:val="0DF0ECEC"/>
    <w:styleLink w:val="ImportedStyle4"/>
    <w:lvl w:ilvl="0" w:tplc="AAE46B62">
      <w:start w:val="1"/>
      <w:numFmt w:val="bullet"/>
      <w:lvlText w:val="-"/>
      <w:lvlJc w:val="left"/>
      <w:pPr>
        <w:ind w:left="720" w:hanging="360"/>
      </w:pPr>
      <w:rPr>
        <w:rFonts w:ascii="Verdana" w:eastAsia="Verdana" w:hAnsi="Verdana" w:cs="Verdana"/>
        <w:b/>
        <w:bCs/>
        <w:i w:val="0"/>
        <w:iCs w:val="0"/>
        <w:caps w:val="0"/>
        <w:smallCaps w:val="0"/>
        <w:strike w:val="0"/>
        <w:dstrike w:val="0"/>
        <w:outline w:val="0"/>
        <w:emboss w:val="0"/>
        <w:imprint w:val="0"/>
        <w:spacing w:val="0"/>
        <w:w w:val="100"/>
        <w:kern w:val="0"/>
        <w:position w:val="0"/>
        <w:highlight w:val="none"/>
        <w:vertAlign w:val="baseline"/>
      </w:rPr>
    </w:lvl>
    <w:lvl w:ilvl="1" w:tplc="0868EA4A">
      <w:start w:val="1"/>
      <w:numFmt w:val="bullet"/>
      <w:lvlText w:val="o"/>
      <w:lvlJc w:val="left"/>
      <w:pPr>
        <w:ind w:left="1440" w:hanging="360"/>
      </w:pPr>
      <w:rPr>
        <w:rFonts w:ascii="Verdana" w:eastAsia="Verdana" w:hAnsi="Verdana" w:cs="Verdana"/>
        <w:b/>
        <w:bCs/>
        <w:i w:val="0"/>
        <w:iCs w:val="0"/>
        <w:caps w:val="0"/>
        <w:smallCaps w:val="0"/>
        <w:strike w:val="0"/>
        <w:dstrike w:val="0"/>
        <w:outline w:val="0"/>
        <w:emboss w:val="0"/>
        <w:imprint w:val="0"/>
        <w:spacing w:val="0"/>
        <w:w w:val="100"/>
        <w:kern w:val="0"/>
        <w:position w:val="0"/>
        <w:highlight w:val="none"/>
        <w:vertAlign w:val="baseline"/>
      </w:rPr>
    </w:lvl>
    <w:lvl w:ilvl="2" w:tplc="9EA6DB7A">
      <w:start w:val="1"/>
      <w:numFmt w:val="bullet"/>
      <w:lvlText w:val="▪"/>
      <w:lvlJc w:val="left"/>
      <w:pPr>
        <w:ind w:left="2160" w:hanging="360"/>
      </w:pPr>
      <w:rPr>
        <w:rFonts w:ascii="Verdana" w:eastAsia="Verdana" w:hAnsi="Verdana" w:cs="Verdana"/>
        <w:b/>
        <w:bCs/>
        <w:i w:val="0"/>
        <w:iCs w:val="0"/>
        <w:caps w:val="0"/>
        <w:smallCaps w:val="0"/>
        <w:strike w:val="0"/>
        <w:dstrike w:val="0"/>
        <w:outline w:val="0"/>
        <w:emboss w:val="0"/>
        <w:imprint w:val="0"/>
        <w:spacing w:val="0"/>
        <w:w w:val="100"/>
        <w:kern w:val="0"/>
        <w:position w:val="0"/>
        <w:highlight w:val="none"/>
        <w:vertAlign w:val="baseline"/>
      </w:rPr>
    </w:lvl>
    <w:lvl w:ilvl="3" w:tplc="76E6B9EA">
      <w:start w:val="1"/>
      <w:numFmt w:val="bullet"/>
      <w:lvlText w:val="•"/>
      <w:lvlJc w:val="left"/>
      <w:pPr>
        <w:ind w:left="2880" w:hanging="360"/>
      </w:pPr>
      <w:rPr>
        <w:rFonts w:ascii="Verdana" w:eastAsia="Verdana" w:hAnsi="Verdana" w:cs="Verdana"/>
        <w:b/>
        <w:bCs/>
        <w:i w:val="0"/>
        <w:iCs w:val="0"/>
        <w:caps w:val="0"/>
        <w:smallCaps w:val="0"/>
        <w:strike w:val="0"/>
        <w:dstrike w:val="0"/>
        <w:outline w:val="0"/>
        <w:emboss w:val="0"/>
        <w:imprint w:val="0"/>
        <w:spacing w:val="0"/>
        <w:w w:val="100"/>
        <w:kern w:val="0"/>
        <w:position w:val="0"/>
        <w:highlight w:val="none"/>
        <w:vertAlign w:val="baseline"/>
      </w:rPr>
    </w:lvl>
    <w:lvl w:ilvl="4" w:tplc="F1DC489E">
      <w:start w:val="1"/>
      <w:numFmt w:val="bullet"/>
      <w:lvlText w:val="o"/>
      <w:lvlJc w:val="left"/>
      <w:pPr>
        <w:ind w:left="3600" w:hanging="360"/>
      </w:pPr>
      <w:rPr>
        <w:rFonts w:ascii="Verdana" w:eastAsia="Verdana" w:hAnsi="Verdana" w:cs="Verdana"/>
        <w:b/>
        <w:bCs/>
        <w:i w:val="0"/>
        <w:iCs w:val="0"/>
        <w:caps w:val="0"/>
        <w:smallCaps w:val="0"/>
        <w:strike w:val="0"/>
        <w:dstrike w:val="0"/>
        <w:outline w:val="0"/>
        <w:emboss w:val="0"/>
        <w:imprint w:val="0"/>
        <w:spacing w:val="0"/>
        <w:w w:val="100"/>
        <w:kern w:val="0"/>
        <w:position w:val="0"/>
        <w:highlight w:val="none"/>
        <w:vertAlign w:val="baseline"/>
      </w:rPr>
    </w:lvl>
    <w:lvl w:ilvl="5" w:tplc="267231E6">
      <w:start w:val="1"/>
      <w:numFmt w:val="bullet"/>
      <w:lvlText w:val="▪"/>
      <w:lvlJc w:val="left"/>
      <w:pPr>
        <w:ind w:left="4320" w:hanging="360"/>
      </w:pPr>
      <w:rPr>
        <w:rFonts w:ascii="Verdana" w:eastAsia="Verdana" w:hAnsi="Verdana" w:cs="Verdana"/>
        <w:b/>
        <w:bCs/>
        <w:i w:val="0"/>
        <w:iCs w:val="0"/>
        <w:caps w:val="0"/>
        <w:smallCaps w:val="0"/>
        <w:strike w:val="0"/>
        <w:dstrike w:val="0"/>
        <w:outline w:val="0"/>
        <w:emboss w:val="0"/>
        <w:imprint w:val="0"/>
        <w:spacing w:val="0"/>
        <w:w w:val="100"/>
        <w:kern w:val="0"/>
        <w:position w:val="0"/>
        <w:highlight w:val="none"/>
        <w:vertAlign w:val="baseline"/>
      </w:rPr>
    </w:lvl>
    <w:lvl w:ilvl="6" w:tplc="BC5A7F90">
      <w:start w:val="1"/>
      <w:numFmt w:val="bullet"/>
      <w:lvlText w:val="•"/>
      <w:lvlJc w:val="left"/>
      <w:pPr>
        <w:ind w:left="5040" w:hanging="360"/>
      </w:pPr>
      <w:rPr>
        <w:rFonts w:ascii="Verdana" w:eastAsia="Verdana" w:hAnsi="Verdana" w:cs="Verdana"/>
        <w:b/>
        <w:bCs/>
        <w:i w:val="0"/>
        <w:iCs w:val="0"/>
        <w:caps w:val="0"/>
        <w:smallCaps w:val="0"/>
        <w:strike w:val="0"/>
        <w:dstrike w:val="0"/>
        <w:outline w:val="0"/>
        <w:emboss w:val="0"/>
        <w:imprint w:val="0"/>
        <w:spacing w:val="0"/>
        <w:w w:val="100"/>
        <w:kern w:val="0"/>
        <w:position w:val="0"/>
        <w:highlight w:val="none"/>
        <w:vertAlign w:val="baseline"/>
      </w:rPr>
    </w:lvl>
    <w:lvl w:ilvl="7" w:tplc="52CCC06A">
      <w:start w:val="1"/>
      <w:numFmt w:val="bullet"/>
      <w:lvlText w:val="o"/>
      <w:lvlJc w:val="left"/>
      <w:pPr>
        <w:ind w:left="5760" w:hanging="360"/>
      </w:pPr>
      <w:rPr>
        <w:rFonts w:ascii="Verdana" w:eastAsia="Verdana" w:hAnsi="Verdana" w:cs="Verdana"/>
        <w:b/>
        <w:bCs/>
        <w:i w:val="0"/>
        <w:iCs w:val="0"/>
        <w:caps w:val="0"/>
        <w:smallCaps w:val="0"/>
        <w:strike w:val="0"/>
        <w:dstrike w:val="0"/>
        <w:outline w:val="0"/>
        <w:emboss w:val="0"/>
        <w:imprint w:val="0"/>
        <w:spacing w:val="0"/>
        <w:w w:val="100"/>
        <w:kern w:val="0"/>
        <w:position w:val="0"/>
        <w:highlight w:val="none"/>
        <w:vertAlign w:val="baseline"/>
      </w:rPr>
    </w:lvl>
    <w:lvl w:ilvl="8" w:tplc="51FCC452">
      <w:start w:val="1"/>
      <w:numFmt w:val="bullet"/>
      <w:lvlText w:val="▪"/>
      <w:lvlJc w:val="left"/>
      <w:pPr>
        <w:ind w:left="6480" w:hanging="360"/>
      </w:pPr>
      <w:rPr>
        <w:rFonts w:ascii="Verdana" w:eastAsia="Verdana" w:hAnsi="Verdana" w:cs="Verdana"/>
        <w:b/>
        <w:bCs/>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6DB57954"/>
    <w:multiLevelType w:val="hybridMultilevel"/>
    <w:tmpl w:val="D4C2CABC"/>
    <w:numStyleLink w:val="ImportedStyle3"/>
  </w:abstractNum>
  <w:num w:numId="1">
    <w:abstractNumId w:val="1"/>
  </w:num>
  <w:num w:numId="2">
    <w:abstractNumId w:val="0"/>
  </w:num>
  <w:num w:numId="3">
    <w:abstractNumId w:val="4"/>
  </w:num>
  <w:num w:numId="4">
    <w:abstractNumId w:val="2"/>
  </w:num>
  <w:num w:numId="5">
    <w:abstractNumId w:val="5"/>
  </w:num>
  <w:num w:numId="6">
    <w:abstractNumId w:val="7"/>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50"/>
  <w:displayBackgroundShap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7F6"/>
    <w:rsid w:val="002D7923"/>
    <w:rsid w:val="004547F6"/>
    <w:rsid w:val="005244D5"/>
    <w:rsid w:val="0057371F"/>
    <w:rsid w:val="005A511D"/>
    <w:rsid w:val="0083694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444AB3-BA00-466F-AAD3-906575706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sl-SI" w:eastAsia="sl-SI"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36"/>
        <w:tab w:val="right" w:pos="9072"/>
      </w:tabs>
      <w:jc w:val="both"/>
    </w:pPr>
    <w:rPr>
      <w:rFonts w:ascii="Verdana" w:hAnsi="Verdana" w:cs="Arial Unicode MS"/>
      <w:color w:val="000000"/>
      <w:u w:color="000000"/>
    </w:rPr>
  </w:style>
  <w:style w:type="paragraph" w:styleId="Footer">
    <w:name w:val="footer"/>
    <w:pPr>
      <w:tabs>
        <w:tab w:val="center" w:pos="4536"/>
        <w:tab w:val="right" w:pos="9072"/>
      </w:tabs>
      <w:jc w:val="both"/>
    </w:pPr>
    <w:rPr>
      <w:rFonts w:ascii="Verdana" w:hAnsi="Verdana" w:cs="Arial Unicode MS"/>
      <w:color w:val="000000"/>
      <w:u w:color="000000"/>
    </w:rPr>
  </w:style>
  <w:style w:type="paragraph" w:customStyle="1" w:styleId="Body">
    <w:name w:val="Body"/>
    <w:pPr>
      <w:jc w:val="both"/>
    </w:pPr>
    <w:rPr>
      <w:rFonts w:ascii="Verdana" w:hAnsi="Verdana" w:cs="Arial Unicode MS"/>
      <w:color w:val="000000"/>
      <w:u w:color="000000"/>
    </w:rPr>
  </w:style>
  <w:style w:type="paragraph" w:styleId="BalloonText">
    <w:name w:val="Balloon Text"/>
    <w:pPr>
      <w:jc w:val="both"/>
    </w:pPr>
    <w:rPr>
      <w:rFonts w:ascii="Tahoma" w:eastAsia="Tahoma" w:hAnsi="Tahoma" w:cs="Tahoma"/>
      <w:color w:val="000000"/>
      <w:sz w:val="16"/>
      <w:szCs w:val="16"/>
      <w:u w:color="000000"/>
    </w:rPr>
  </w:style>
  <w:style w:type="paragraph" w:styleId="ListParagraph">
    <w:name w:val="List Paragraph"/>
    <w:pPr>
      <w:ind w:left="708"/>
      <w:jc w:val="both"/>
    </w:pPr>
    <w:rPr>
      <w:rFonts w:ascii="Verdana" w:hAnsi="Verdana" w:cs="Arial Unicode MS"/>
      <w:color w:val="000000"/>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character" w:customStyle="1" w:styleId="Link">
    <w:name w:val="Link"/>
    <w:rPr>
      <w:color w:val="0000FF"/>
      <w:u w:val="single" w:color="0000FF"/>
    </w:rPr>
  </w:style>
  <w:style w:type="character" w:customStyle="1" w:styleId="Hyperlink0">
    <w:name w:val="Hyperlink.0"/>
    <w:basedOn w:val="Link"/>
    <w:rPr>
      <w:color w:val="0000FF"/>
      <w:sz w:val="12"/>
      <w:szCs w:val="12"/>
      <w:u w:val="single" w:color="0000FF"/>
    </w:rPr>
  </w:style>
  <w:style w:type="numbering" w:customStyle="1" w:styleId="ImportedStyle4">
    <w:name w:val="Imported Style 4"/>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fl.um.si/wp-content/uploads/2014/03/Samoevalvacijsko-porocilo-FL-UM_17_18.pdf" TargetMode="External"/><Relationship Id="rId3" Type="http://schemas.openxmlformats.org/officeDocument/2006/relationships/settings" Target="settings.xml"/><Relationship Id="rId7" Type="http://schemas.openxmlformats.org/officeDocument/2006/relationships/hyperlink" Target="https://www.um.si/univerza/dokumentni-center/programi-dela-poslovna-porocila/Narti%2520in%2520poroila/Poslovno%2520poro%25C4%258Dilo%2520UM%25202017_vsebinski%2520del.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Officeova tem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ova tema">
      <a:majorFont>
        <a:latin typeface="Helvetica Neue"/>
        <a:ea typeface="Helvetica Neue"/>
        <a:cs typeface="Helvetica Neue"/>
      </a:majorFont>
      <a:minorFont>
        <a:latin typeface="Helvetica Neue"/>
        <a:ea typeface="Helvetica Neue"/>
        <a:cs typeface="Helvetica Neue"/>
      </a:minorFont>
    </a:fontScheme>
    <a:fmtScheme name="Officeova t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2364</Words>
  <Characters>13478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Goran Turk</dc:creator>
  <cp:lastModifiedBy>Goran Turk</cp:lastModifiedBy>
  <cp:revision>2</cp:revision>
  <dcterms:created xsi:type="dcterms:W3CDTF">2018-10-09T07:45:00Z</dcterms:created>
  <dcterms:modified xsi:type="dcterms:W3CDTF">2018-10-09T07:45:00Z</dcterms:modified>
</cp:coreProperties>
</file>